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LVT1267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PERIGOURDINE DE CHARME  EN PARFAIT ETAT  - AVEC PISCINE ET JARDIN CLOS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DOMME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left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2359" cy="1422359"/>
                      <wp:effectExtent l="0" t="0" r="0" b="0"/>
                      <wp:docPr id="1" name="Picture 1" descr="https://dpe.files.activimmo.com/elan?dpe=255&amp;ges=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0007601" name="https://dpe.files.activimmo.com/elan?dpe=255&amp;ges=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22358" cy="14223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2.0pt;height:112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ahoma" w:hAnsi="Tahoma" w:eastAsia="Tahoma"/>
              </w:rPr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Un coup de coeur pour cette Périgourdine de charme , située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au calme dans un hamea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u entre Dordogne et Lot , cette jolie maison en pierre rénovée avec gout se compose d'une entrée avec dressing ouvrant sur une pièce principale très lumineuse de 35m2 équipée d'un poêle à bois avec coin cuisine, 3 chambres avec pour chacune un placard ,une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salle d'eau avec WC. Le terrain de 948 m2 est entièrement clos joliment fleuri et arboré, belle espace piscine et cuisine d'été.  </w:t>
            </w:r>
            <w:r>
              <w:rPr>
                <w:rFonts w:ascii="Tahoma" w:hAnsi="Tahoma" w:eastAsia="Tahoma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br/>
            </w:r>
            <w:r>
              <w:rPr>
                <w:rFonts w:ascii="Tahoma" w:hAnsi="Tahoma" w:eastAsia="Tahoma"/>
                <w:b/>
                <w:bCs/>
              </w:rPr>
            </w:r>
            <w:r/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233.200 €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220.000 €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2023-09-29T08:05:01Z</dcterms:modified>
</cp:coreProperties>
</file>