
<file path=[Content_Types].xml><?xml version="1.0" encoding="utf-8"?>
<Types xmlns="http://schemas.openxmlformats.org/package/2006/content-types">
  <Default Extension="wmf" ContentType="image/x-wmf"/>
  <Default Extension="gif" ContentType="image/gi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5110"/>
        <w:gridCol w:w="5546"/>
      </w:tblGrid>
      <w:tr>
        <w:trPr/>
        <w:tc>
          <w:tcPr>
            <w:shd w:val="clear" w:color="auto" w:fill="auto"/>
            <w:tcW w:w="5110" w:type="dxa"/>
            <w:textDirection w:val="lrTb"/>
            <w:noWrap w:val="false"/>
          </w:tcPr>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554990</wp:posOffset>
                      </wp:positionH>
                      <wp:positionV relativeFrom="paragraph">
                        <wp:posOffset>446405</wp:posOffset>
                      </wp:positionV>
                      <wp:extent cx="1355725" cy="133794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0"/>
                              <a:stretch/>
                            </pic:blipFill>
                            <pic:spPr bwMode="auto">
                              <a:xfrm>
                                <a:off x="0" y="0"/>
                                <a:ext cx="1355725" cy="133794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3.7pt;mso-position-horizontal:absolute;mso-position-vertical-relative:text;margin-top:35.1pt;mso-position-vertical:absolute;width:106.8pt;height:105.3pt;mso-wrap-distance-left:1.0pt;mso-wrap-distance-top:1.0pt;mso-wrap-distance-right:1.0pt;mso-wrap-distance-bottom:1.0pt;" stroked="false">
                      <v:path textboxrect="0,0,0,0"/>
                      <w10:wrap type="square"/>
                      <v:imagedata r:id="rId10" o:title=""/>
                    </v:shape>
                  </w:pict>
                </mc:Fallback>
              </mc:AlternateContent>
            </w:r>
            <w:r/>
          </w:p>
        </w:tc>
        <w:tc>
          <w:tcPr>
            <w:shd w:val="clear" w:color="auto" w:fill="auto"/>
            <w:tcW w:w="5546" w:type="dxa"/>
            <w:textDirection w:val="lrTb"/>
            <w:noWrap w:val="false"/>
          </w:tcPr>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1"/>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1" o:title=""/>
                    </v:shape>
                  </w:pict>
                </mc:Fallback>
              </mc:AlternateContent>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20"/>
                <w:lang w:val="fr-FR"/>
              </w:rPr>
            </w:pPr>
            <w:r>
              <w:rPr>
                <w:rFonts w:ascii="Lato" w:hAnsi="Lato" w:eastAsia="Tahoma"/>
                <w:b w:val="0"/>
                <w:sz w:val="20"/>
                <w:lang w:val="fr-FR"/>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SASU LVT, AGENCE LVT IMMOBILIER, </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Rue Jean Tarde 24200 SARLAT LA CANEDA,</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titulaire</w:t>
            </w:r>
            <w:r>
              <w:rPr>
                <w:rFonts w:ascii="Lato" w:hAnsi="Lato" w:eastAsia="Tahoma"/>
                <w:b w:val="0"/>
                <w:sz w:val="18"/>
                <w:lang w:val="fr-FR"/>
              </w:rPr>
              <w:t xml:space="preserve"> de la carte professionnelle "Transaction sur Immeubles et Fonds de Commerce" CPI 2402 2016 000 003 817</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delivrée</w:t>
            </w:r>
            <w:r>
              <w:rPr>
                <w:rFonts w:ascii="Lato" w:hAnsi="Lato" w:eastAsia="Tahoma"/>
                <w:b w:val="0"/>
                <w:sz w:val="18"/>
                <w:lang w:val="fr-FR"/>
              </w:rPr>
              <w:t xml:space="preserve"> par la CCI de la Dordogne , non réception de fonds, effets ou valeurs, RCP AXA, sans garantie financière, </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b w:val="0"/>
                <w:sz w:val="18"/>
              </w:rPr>
              <w:t xml:space="preserve">SIRET 813 648 821 00011- RCS BERGERAC 813 648 82</w:t>
            </w:r>
            <w:r/>
          </w:p>
        </w:tc>
      </w:tr>
    </w:tbl>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lang w:val="fr-FR"/>
        </w:rPr>
      </w:pPr>
      <w:r>
        <w:rPr>
          <w:rFonts w:ascii="Lato" w:hAnsi="Lato" w:eastAsia="Tahoma"/>
          <w:sz w:val="28"/>
          <w:u w:val="single"/>
          <w:lang w:val="fr-FR"/>
        </w:rPr>
        <w:t xml:space="preserve">MANDAT DE VENTE SANS EXCLUSIVITE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2"/>
          <w:u w:val="single"/>
          <w:lang w:val="fr-FR"/>
        </w:rPr>
      </w:pPr>
      <w:r>
        <w:rPr>
          <w:rFonts w:ascii="Lato" w:hAnsi="Lato" w:eastAsia="Tahoma"/>
          <w:sz w:val="18"/>
          <w:lang w:val="fr-FR"/>
        </w:rPr>
        <w:t xml:space="preserve">N° </w:t>
      </w:r>
      <w:r>
        <w:rPr>
          <w:rFonts w:ascii="Lato" w:hAnsi="Lato" w:eastAsia="Tahoma"/>
          <w:b/>
          <w:sz w:val="18"/>
          <w:lang w:val="fr-FR"/>
        </w:rPr>
        <w:t xml:space="preserve">1372</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lang w:val="fr-FR"/>
        </w:rPr>
      </w:pPr>
      <w:r>
        <w:rPr>
          <w:rFonts w:ascii="Lato" w:hAnsi="Lato" w:eastAsia="Tahoma"/>
          <w:sz w:val="22"/>
          <w:u w:val="single"/>
          <w:lang w:val="fr-FR"/>
        </w:rPr>
        <w:t xml:space="preserve">(Avec faculté de rétractation)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lang w:val="fr-FR"/>
        </w:rPr>
      </w:pPr>
      <w:r>
        <w:rPr>
          <w:rFonts w:ascii="Lato" w:hAnsi="Lato" w:eastAsia="Tahoma"/>
          <w:b/>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lang w:val="fr-FR"/>
        </w:rPr>
      </w:pPr>
      <w:r>
        <w:rPr>
          <w:rFonts w:ascii="Lato" w:hAnsi="Lato" w:eastAsia="Tahoma"/>
          <w:b/>
          <w:u w:val="single"/>
          <w:lang w:val="fr-FR"/>
        </w:rPr>
        <w:t xml:space="preserve">Nous, soussignés,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IROULART  MARIE GABRIELLE  17 rue Charles PEGUY 24200 SARLAT LA CANÉDA</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Agissant conjointement et solidairement </w:t>
      </w:r>
      <w:r>
        <w:rPr>
          <w:rFonts w:ascii="Lato" w:hAnsi="Lato" w:eastAsia="Tahoma"/>
          <w:b/>
          <w:sz w:val="16"/>
          <w:lang w:val="fr-FR"/>
        </w:rPr>
        <w:t xml:space="preserve">en qualité de seuls propriétaires, </w:t>
      </w:r>
      <w:r>
        <w:rPr>
          <w:rFonts w:ascii="Lato" w:hAnsi="Lato" w:eastAsia="Tahoma"/>
          <w:sz w:val="16"/>
          <w:lang w:val="fr-FR"/>
        </w:rPr>
        <w:t xml:space="preserve">vous mandatons</w:t>
      </w:r>
      <w:r>
        <w:rPr>
          <w:rFonts w:ascii="Lato" w:hAnsi="Lato" w:eastAsia="Tahoma"/>
          <w:sz w:val="16"/>
          <w:lang w:val="fr-FR"/>
        </w:rPr>
        <w:t xml:space="preserve"> par la présente afin de rechercher un acquéreur et faire toutes les démarches en vue de vendre les biens et droits, ci-dessous désignés, nous engageant à produire toutes justifications de propriété.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4"/>
          <w:lang w:val="fr-FR"/>
        </w:rPr>
        <w:t xml:space="preserve">* Si vous ne souhaitez pas faire l'objet de prospection commerciale par voie téléphonique, vous pouvez </w:t>
      </w:r>
      <w:r>
        <w:rPr>
          <w:rFonts w:ascii="Lato" w:hAnsi="Lato" w:eastAsia="Tahoma"/>
          <w:sz w:val="14"/>
          <w:lang w:val="fr-FR"/>
        </w:rPr>
        <w:t xml:space="preserve">vous inscrire</w:t>
      </w:r>
      <w:r>
        <w:rPr>
          <w:rFonts w:ascii="Lato" w:hAnsi="Lato" w:eastAsia="Tahoma"/>
          <w:sz w:val="14"/>
          <w:lang w:val="fr-FR"/>
        </w:rPr>
        <w:t xml:space="preserve"> gratuitement </w:t>
      </w:r>
      <w:r>
        <w:rPr>
          <w:rFonts w:ascii="Lato" w:hAnsi="Lato" w:eastAsia="Tahoma"/>
          <w:sz w:val="14"/>
          <w:lang w:val="fr-FR"/>
        </w:rPr>
        <w:t xml:space="preserve">su</w:t>
      </w:r>
      <w:r>
        <w:rPr>
          <w:rFonts w:ascii="Lato" w:hAnsi="Lato" w:eastAsia="Tahoma"/>
          <w:sz w:val="14"/>
          <w:lang w:val="fr-FR"/>
        </w:rPr>
        <w:t xml:space="preserve"> la liste d'opposition prévue à l'article L223-1 du code de la consommation sur le site internet www.bloctel.gouv.fr/ ou par courrier adressé </w:t>
      </w:r>
      <w:r>
        <w:rPr>
          <w:rFonts w:ascii="Lato" w:hAnsi="Lato" w:eastAsia="Tahoma"/>
          <w:sz w:val="14"/>
          <w:lang w:val="fr-FR"/>
        </w:rPr>
        <w:t xml:space="preserve">à:</w:t>
      </w:r>
      <w:r>
        <w:rPr>
          <w:rFonts w:ascii="Lato" w:hAnsi="Lato" w:eastAsia="Tahoma"/>
          <w:sz w:val="14"/>
          <w:lang w:val="fr-FR"/>
        </w:rPr>
        <w:t xml:space="preserve"> Société OPPOSETEL, s</w:t>
      </w:r>
      <w:r>
        <w:rPr>
          <w:rFonts w:ascii="Lato" w:hAnsi="Lato" w:eastAsia="Tahoma"/>
          <w:sz w:val="14"/>
          <w:lang w:val="fr-FR"/>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Substitution et délégation automatique au profit de l’ensemble des professionnels de l’immobilier adhérents au Groupement LABEL </w:t>
      </w:r>
      <w:r>
        <w:rPr>
          <w:rFonts w:ascii="Lato" w:hAnsi="Lato" w:eastAsia="Tahoma"/>
          <w:sz w:val="14"/>
          <w:lang w:val="fr-FR"/>
        </w:rPr>
        <w:t xml:space="preserve">PIERRES ou</w:t>
      </w:r>
      <w:r>
        <w:rPr>
          <w:rFonts w:ascii="Lato" w:hAnsi="Lato" w:eastAsia="Tahoma"/>
          <w:sz w:val="14"/>
          <w:lang w:val="fr-FR"/>
        </w:rPr>
        <w:t xml:space="preserve"> au profit de tout professionnel spécifiquement sélectionné.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 1. Situation - Désignation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17, rue Charles PEGUY 24200 SARLAT</w:t>
        <w:br/>
        <w:t xml:space="preserve"> Située dans un secteur calme de SARLAT, avec les commodités à pied , découvrez cette charmante maison en pierre de 90m2 Erigée sur un terrain de 1289 m2 entièrement clos</w:t>
        <w:br/>
        <w:t xml:space="preserve">construite s</w:t>
      </w:r>
      <w:r>
        <w:rPr>
          <w:rFonts w:ascii="Lato" w:hAnsi="Lato" w:eastAsia="Tahoma"/>
          <w:sz w:val="16"/>
          <w:lang w:val="fr-FR"/>
        </w:rPr>
        <w:t xml:space="preserve">ur sous sol entier, vous entrez dans la maison par une véranda ouverte sur le jardin,</w:t>
        <w:br/>
        <w:t xml:space="preserve">l'espace de vie comprend une très belle pièce principale de 35m2 avec poêle à bois, une cuisine équipée donne sur le jardin, 2 chambres sur parquet, une salle d'eau, les</w:t>
      </w:r>
      <w:r>
        <w:rPr>
          <w:rFonts w:ascii="Lato" w:hAnsi="Lato" w:eastAsia="Tahoma"/>
          <w:sz w:val="16"/>
          <w:lang w:val="fr-FR"/>
        </w:rPr>
        <w:t xml:space="preserve"> wc sont séparés - un garage avec porte électrique et un petit cabanon de jardin viennent compléter ce bien</w:t>
        <w:br/>
        <w:t xml:space="preserve">A voir très rapidement</w:t>
        <w:br/>
        <w:t xml:space="preserve">Les informations sur les risques auxquels ce bien est exposé sont disponibles sur le site Géorisques: www.georisques.gouv.fr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REFERENCE(S) CADASTRALE(S):  D0 0094 - 1289m2</w:t>
      </w:r>
      <w:r/>
      <w:r>
        <w:rPr>
          <w:rFonts w:ascii="Lato" w:hAnsi="Lato" w:eastAsia="Tahoma"/>
          <w:b/>
          <w:sz w:val="20"/>
          <w:u w:val="single"/>
        </w:rPr>
      </w:r>
      <w:r/>
      <w:r>
        <w:rPr>
          <w:rFonts w:ascii="Lato" w:hAnsi="Lato" w:eastAsia="Tahoma"/>
          <w:sz w:val="16"/>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rPr>
        <w:t xml:space="preserve"> </w:t>
      </w:r>
      <w:r>
        <w:rPr>
          <w:rFonts w:ascii="Lato" w:hAnsi="Lato" w:eastAsia="Tahoma"/>
          <w:b/>
          <w:sz w:val="20"/>
          <w:u w:val="single"/>
          <w:lang w:val="fr-FR"/>
        </w:rPr>
        <w:t xml:space="preserve">2. Prix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prix demandé par le(s) mandant(s), vendeur(s) des biens et droits ci-avant désignés est, sauf accord ultérieur de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235 000 € -  deux cent trente cinq mille cents   payable comptant le jour de la signature de l'acte authentique, tant à l'aide de prêts que de fonds propres de l'acquéreur.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3. Honoraires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6"/>
          <w:lang w:val="fr-FR"/>
        </w:rPr>
        <w:t xml:space="preserve">Les honoraires de l'agence LVT IMMOBILIER seront de : 14 000 € TTC  soit  6 % .  Ils seront à la charge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4"/>
          <w:lang w:val="fr-FR"/>
        </w:rPr>
        <w:t xml:space="preserve">Ils seront exigibles le jour ou l'opération sera effectivement conclue et constatée dans un acte écrit, signé des 2 parties, conformément à l'article 74 du décret 72-678 du 20 juillet 1972.</w:t>
      </w:r>
      <w:r/>
      <w:r>
        <w:rPr>
          <w:rFonts w:ascii="Lato" w:hAnsi="Lato" w:eastAsia="Tahoma"/>
          <w:b/>
          <w:sz w:val="20"/>
          <w:u w:val="single"/>
          <w:lang w:val="fr-FR"/>
        </w:rPr>
      </w:r>
      <w:r/>
      <w:r>
        <w:rPr>
          <w:rFonts w:ascii="Lato" w:hAnsi="Lato" w:eastAsia="Tahoma"/>
          <w:sz w:val="18"/>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b/>
          <w:sz w:val="20"/>
          <w:u w:val="single"/>
          <w:lang w:val="fr-FR"/>
        </w:rPr>
        <w:t xml:space="preserve"> 4. Durée du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pour une durée de </w:t>
      </w:r>
      <w:r>
        <w:rPr>
          <w:rFonts w:ascii="Lato" w:hAnsi="Lato" w:eastAsia="Tahoma"/>
          <w:sz w:val="16"/>
          <w:lang w:val="fr-FR"/>
        </w:rPr>
        <w:t xml:space="preserve">vingt-quatre</w:t>
      </w:r>
      <w:r>
        <w:rPr>
          <w:rFonts w:ascii="Lato" w:hAnsi="Lato" w:eastAsia="Tahoma"/>
          <w:sz w:val="16"/>
          <w:lang w:val="fr-FR"/>
        </w:rPr>
        <w:t xml:space="preserve"> (24) mois, dont les trois prem</w:t>
      </w:r>
      <w:r>
        <w:rPr>
          <w:rFonts w:ascii="Lato" w:hAnsi="Lato" w:eastAsia="Tahoma"/>
          <w:sz w:val="16"/>
          <w:lang w:val="fr-FR"/>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 Article L136-1 du code de la consommation modifié par la loi n°2014-344 du 17/03/2014 art.35. 'Le professionnel pres</w:t>
      </w:r>
      <w:r>
        <w:rPr>
          <w:rFonts w:ascii="Lato" w:hAnsi="Lato" w:eastAsia="Tahoma"/>
          <w:sz w:val="14"/>
          <w:lang w:val="fr-FR"/>
        </w:rPr>
        <w:t xml:space="preserve">tataire de services informe le consommateur par écrit, par lettre nominative ou courrier électronique dédié, au plus tôt trois mois et au plus tard un mois avant le terme de la période autorisant le rejet de la reconduction, de la possibilité de ne pas rec</w:t>
      </w:r>
      <w:r>
        <w:rPr>
          <w:rFonts w:ascii="Lato" w:hAnsi="Lato" w:eastAsia="Tahoma"/>
          <w:sz w:val="14"/>
          <w:lang w:val="fr-FR"/>
        </w:rPr>
        <w:t xml:space="preserve">onduire le contrat qu'il a conclu avec une clause de reconduction tacite. Cette information, délivrée dans des termes clairs et compréhensibles, mentionne, dans un encadré apparent, la date limite de résiliation. Lorsque cette information ne lui a pas été </w:t>
      </w:r>
      <w:r>
        <w:rPr>
          <w:rFonts w:ascii="Lato" w:hAnsi="Lato" w:eastAsia="Tahoma"/>
          <w:sz w:val="14"/>
          <w:lang w:val="fr-FR"/>
        </w:rPr>
        <w:t xml:space="preserve">adressée</w:t>
      </w:r>
      <w:r>
        <w:rPr>
          <w:rFonts w:ascii="Lato" w:hAnsi="Lato" w:eastAsia="Tahoma"/>
          <w:sz w:val="14"/>
          <w:lang w:val="fr-FR"/>
        </w:rPr>
        <w:t xml:space="preserve"> conformément aux dispositions du premier alinéa, le consommateur peut mettre g</w:t>
      </w:r>
      <w:r>
        <w:rPr>
          <w:rFonts w:ascii="Lato" w:hAnsi="Lato" w:eastAsia="Tahoma"/>
          <w:sz w:val="14"/>
          <w:lang w:val="fr-FR"/>
        </w:rPr>
        <w:t xml:space="preserve">ratuitement un terme au contrat, à tout moment à compter de la date de reconduction. Les avances effectuées après la dernière date de reconduction ou, s'agissant des contrats à durée indéterminée, après la date de transformation du contrat initial à durée </w:t>
      </w:r>
      <w:r>
        <w:rPr>
          <w:rFonts w:ascii="Lato" w:hAnsi="Lato" w:eastAsia="Tahoma"/>
          <w:sz w:val="14"/>
          <w:lang w:val="fr-FR"/>
        </w:rPr>
        <w:t xml:space="preserve">déterminée,</w:t>
      </w:r>
      <w:r>
        <w:rPr>
          <w:rFonts w:ascii="Lato" w:hAnsi="Lato" w:eastAsia="Tahoma"/>
          <w:sz w:val="14"/>
          <w:lang w:val="fr-FR"/>
        </w:rPr>
        <w:t xml:space="preserve"> sont dans ce cas remboursées dans un délai de trente jours à compter d</w:t>
      </w:r>
      <w:r>
        <w:rPr>
          <w:rFonts w:ascii="Lato" w:hAnsi="Lato" w:eastAsia="Tahoma"/>
          <w:sz w:val="14"/>
          <w:lang w:val="fr-FR"/>
        </w:rPr>
        <w:t xml:space="preserve">e la date de résiliation, déduction faite des sommes correspondant, jusqu'à celle-ci, à l'exécution du contrat. A défaut de remboursement dans les conditions prévues ci-dessus, les sommes dues sont productives d'intérêts au taux légal. Les dispositions du </w:t>
      </w:r>
      <w:r>
        <w:rPr>
          <w:rFonts w:ascii="Lato" w:hAnsi="Lato" w:eastAsia="Tahoma"/>
          <w:sz w:val="14"/>
          <w:lang w:val="fr-FR"/>
        </w:rPr>
        <w:t xml:space="preserve">présent article</w:t>
      </w:r>
      <w:r>
        <w:rPr>
          <w:rFonts w:ascii="Lato" w:hAnsi="Lato" w:eastAsia="Tahoma"/>
          <w:sz w:val="14"/>
          <w:lang w:val="fr-FR"/>
        </w:rPr>
        <w:t xml:space="preserve"> s'appliquent sans préjudice de celles qui soumettent légalement certains contrats à des règles particulières en ce qui </w:t>
      </w:r>
      <w:r>
        <w:rPr>
          <w:rFonts w:ascii="Lato" w:hAnsi="Lato" w:eastAsia="Tahoma"/>
          <w:sz w:val="14"/>
          <w:lang w:val="fr-FR"/>
        </w:rPr>
        <w:t xml:space="preserve">concerne</w:t>
      </w:r>
      <w:r>
        <w:rPr>
          <w:rFonts w:ascii="Lato" w:hAnsi="Lato" w:eastAsia="Tahoma"/>
          <w:sz w:val="14"/>
          <w:lang w:val="fr-FR"/>
        </w:rPr>
        <w:t xml:space="preserve"> l'information du </w:t>
      </w:r>
      <w:r>
        <w:rPr>
          <w:rFonts w:ascii="Lato" w:hAnsi="Lato" w:eastAsia="Tahoma"/>
          <w:sz w:val="14"/>
          <w:lang w:val="fr-FR"/>
        </w:rPr>
        <w:t xml:space="preserve">consommateur. Les trois alinéas précédents</w:t>
      </w:r>
      <w:r>
        <w:rPr>
          <w:rFonts w:ascii="Lato" w:hAnsi="Lato" w:eastAsia="Tahoma"/>
          <w:sz w:val="14"/>
          <w:lang w:val="fr-FR"/>
        </w:rPr>
        <w:t xml:space="preserve"> ne sont pas applicables aux exploitants des services d'eau potable et d'assainissement. Ils sont applicables aux consommateurs et aux non-professionnels."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5. Conditions particulières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6. Surface privative 'Loi Carrez' et surface habitable (si copropriété)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7. Moyens de diffusion des annonces commerciales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De par son appartenance au Groupement LABEL PIERRES, l'annonce commer</w:t>
      </w:r>
      <w:r>
        <w:rPr>
          <w:rFonts w:ascii="Lato" w:hAnsi="Lato" w:eastAsia="Tahoma"/>
          <w:sz w:val="16"/>
          <w:lang w:val="fr-FR"/>
        </w:rPr>
        <w:t xml:space="preserve">ciale est susceptible d'être diffusée sur un ou plusieurs des sites internet des agences membres du Groupement, sur un ou plusieurs des sites de nos agences partenaires en France ou à l'étranger, ainsi que d'apparaître ponctuellement sur certains portails </w:t>
      </w:r>
      <w:r>
        <w:rPr>
          <w:rFonts w:ascii="Lato" w:hAnsi="Lato" w:eastAsia="Tahoma"/>
          <w:sz w:val="16"/>
          <w:lang w:val="fr-FR"/>
        </w:rPr>
        <w:t xml:space="preserve">français</w:t>
      </w:r>
      <w:r>
        <w:rPr>
          <w:rFonts w:ascii="Lato" w:hAnsi="Lato" w:eastAsia="Tahoma"/>
          <w:sz w:val="16"/>
          <w:lang w:val="fr-FR"/>
        </w:rPr>
        <w:t xml:space="preserve"> et étranger en fonction des choix de campagne de l'agence  de communication, et notamment : Se Loger.com, A Vendre A Louer, Green-Acres, Bien Ici,  Le Bon Coin, Logic </w:t>
      </w:r>
      <w:r>
        <w:rPr>
          <w:rFonts w:ascii="Lato" w:hAnsi="Lato" w:eastAsia="Tahoma"/>
          <w:sz w:val="16"/>
          <w:lang w:val="fr-FR"/>
        </w:rPr>
        <w:t xml:space="preserve">IMMO</w:t>
      </w:r>
      <w:r>
        <w:rPr>
          <w:rFonts w:ascii="Lato" w:hAnsi="Lato" w:eastAsia="Tahoma"/>
          <w:sz w:val="16"/>
          <w:lang w:val="fr-FR"/>
        </w:rPr>
        <w:t xml:space="preserve">, etc... Le mandant autorise l'agence LVT IMMOBILIER à saisir l'ensemble des informations contenues dans le présent mandat sur le fichier intranet du Groupement </w:t>
      </w:r>
      <w:r>
        <w:rPr>
          <w:rFonts w:ascii="Lato" w:hAnsi="Lato" w:eastAsia="Tahoma"/>
          <w:sz w:val="16"/>
          <w:lang w:val="fr-FR"/>
        </w:rPr>
        <w:t xml:space="preserve">Immobilier LABEL</w:t>
      </w:r>
      <w:r>
        <w:rPr>
          <w:rFonts w:ascii="Lato" w:hAnsi="Lato" w:eastAsia="Tahoma"/>
          <w:sz w:val="16"/>
          <w:lang w:val="fr-FR"/>
        </w:rPr>
        <w:t xml:space="preserve"> PIERRES et à poser un panneau sur le bien immobilier si l'agence le juge utile.</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8. Plus-value et T.V.A. :</w:t>
      </w:r>
      <w:r/>
      <w:r>
        <w:rPr>
          <w:rFonts w:ascii="Lato" w:hAnsi="Lato" w:eastAsia="Tahoma"/>
          <w:sz w:val="16"/>
          <w:lang w:val="fr-FR"/>
        </w:rPr>
      </w:r>
      <w:r/>
      <w:r>
        <w:rPr>
          <w:rFonts w:ascii="Lato" w:hAnsi="Lato" w:eastAsia="Tahoma"/>
          <w:b/>
          <w:sz w:val="16"/>
          <w:u w:val="singl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
        <w:rPr>
          <w:rFonts w:ascii="Lato" w:hAnsi="Lato" w:eastAsia="Tahoma"/>
          <w:sz w:val="16"/>
          <w:lang w:val="fr-FR"/>
        </w:rPr>
      </w:r>
      <w:r/>
      <w:r>
        <w:rPr>
          <w:rFonts w:ascii="Lato" w:hAnsi="Lato" w:eastAsia="Tahoma"/>
          <w:sz w:val="16"/>
          <w:lang w:val="fr-FR"/>
        </w:rP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9. Pouvoirs</w:t>
      </w:r>
      <w:r>
        <w:rPr>
          <w:rFonts w:ascii="Lato" w:hAnsi="Lato" w:eastAsia="Tahoma"/>
          <w:b/>
          <w:sz w:val="20"/>
          <w:u w:val="single"/>
          <w:lang w:val="fr-FR"/>
        </w:rPr>
        <w:t xml:space="preserve"> du mandataire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w:t>
      </w:r>
      <w:r>
        <w:rPr>
          <w:rFonts w:ascii="Lato" w:hAnsi="Lato" w:eastAsia="Tahoma"/>
          <w:sz w:val="16"/>
          <w:lang w:val="fr-FR"/>
        </w:rPr>
        <w:t xml:space="preserve">pouvoirs-vous</w:t>
      </w:r>
      <w:r>
        <w:rPr>
          <w:rFonts w:ascii="Lato" w:hAnsi="Lato" w:eastAsia="Tahoma"/>
          <w:sz w:val="16"/>
          <w:lang w:val="fr-FR"/>
        </w:rPr>
        <w:t xml:space="preserve"> sont donnés pour mener à bien votre mission. Vous pourrez notamment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(internet, ...) mais à vos frais </w:t>
      </w:r>
      <w:r>
        <w:rPr>
          <w:rFonts w:ascii="Lato" w:hAnsi="Lato" w:eastAsia="Tahoma"/>
          <w:sz w:val="16"/>
          <w:lang w:val="fr-FR"/>
        </w:rPr>
        <w:t xml:space="preserve">seulement ;</w:t>
      </w:r>
      <w:r>
        <w:rPr>
          <w:rFonts w:ascii="Lato" w:hAnsi="Lato" w:eastAsia="Tahoma"/>
          <w:sz w:val="16"/>
          <w:lang w:val="fr-FR"/>
        </w:rPr>
        <w:t xml:space="preserve"> apposer un panneau de mise en vente à l'endroit que vous jugerez le plus </w:t>
      </w:r>
      <w:r>
        <w:rPr>
          <w:rFonts w:ascii="Lato" w:hAnsi="Lato" w:eastAsia="Tahoma"/>
          <w:color w:val="000000" w:themeColor="text1"/>
          <w:sz w:val="16"/>
          <w:lang w:val="fr-FR"/>
        </w:rPr>
        <w:t xml:space="preserve">approprié ;</w:t>
      </w:r>
      <w:r>
        <w:rPr>
          <w:rFonts w:ascii="Lato" w:hAnsi="Lato" w:eastAsia="Tahoma"/>
          <w:color w:val="000000" w:themeColor="text1"/>
          <w:sz w:val="16"/>
          <w:lang w:val="fr-FR"/>
        </w:rPr>
        <w:t xml:space="preserve"> publier toute photographie, étant entendu que nous sommes seuls propriétaires du droit à l'image de notre bien. Le bien ne pourra faire </w:t>
      </w:r>
      <w:r>
        <w:rPr>
          <w:rFonts w:ascii="Lato" w:hAnsi="Lato" w:eastAsia="Tahoma"/>
          <w:color w:val="000000" w:themeColor="text1"/>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Le mandant pourra exercer son droit d'accès et de rectification conformément à l'article 27 de la loi du 6 janvier 1978.</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2- Réclamer toutes les pièces utiles auprès de toutes personnes privées ou publiques, notamment le certificat d'urbanisme.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color w:val="000000" w:themeColor="text1"/>
          <w:sz w:val="16"/>
          <w:lang w:val="fr-FR"/>
        </w:rPr>
        <w:t xml:space="preserve">3- </w:t>
      </w:r>
      <w:r>
        <w:rPr>
          <w:rFonts w:ascii="Lato" w:hAnsi="Lato" w:eastAsia="Tahoma"/>
          <w:color w:val="000000" w:themeColor="text1"/>
          <w:sz w:val="16"/>
          <w:lang w:val="fr-FR"/>
        </w:rPr>
        <w:t xml:space="preserve">Indiquer, présenter</w:t>
      </w:r>
      <w:r>
        <w:rPr>
          <w:rFonts w:ascii="Lato" w:hAnsi="Lato" w:eastAsia="Tahoma"/>
          <w:sz w:val="16"/>
          <w:lang w:val="fr-FR"/>
        </w:rPr>
        <w:t xml:space="preserve"> et faire visiter les biens à vendre à toutes personnes. A cet effet, nous nous obligeons à vous assurer le moyen de visiter pendant le cours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w:t>
      </w:r>
      <w:r>
        <w:rPr>
          <w:rFonts w:ascii="Lato" w:hAnsi="Lato" w:eastAsia="Tahoma"/>
          <w:sz w:val="16"/>
          <w:lang w:val="fr-FR"/>
        </w:rPr>
        <w:t xml:space="preserve">recueillir</w:t>
      </w:r>
      <w:r>
        <w:rPr>
          <w:rFonts w:ascii="Lato" w:hAnsi="Lato" w:eastAsia="Tahoma"/>
          <w:sz w:val="16"/>
          <w:lang w:val="fr-FR"/>
        </w:rPr>
        <w:t xml:space="preserve"> la signature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w:t>
      </w:r>
      <w:r>
        <w:rPr>
          <w:rFonts w:ascii="Lato" w:hAnsi="Lato" w:eastAsia="Tahoma"/>
          <w:sz w:val="16"/>
          <w:lang w:val="fr-FR"/>
        </w:rPr>
        <w:t xml:space="preserve">iéner, exigée par la loi. En cas d'exercice du droit de préemption, négocier avec l'organisme préempteur, bénéficiaire de ce droit à la condition de nous en avertir, étant entendu que nous gardons le droit d'accepter ou refuser le prix proposé par le préem</w:t>
      </w:r>
      <w:r>
        <w:rPr>
          <w:rFonts w:ascii="Lato" w:hAnsi="Lato" w:eastAsia="Tahoma"/>
          <w:sz w:val="16"/>
          <w:lang w:val="fr-FR"/>
        </w:rPr>
        <w:t xml:space="preserve">p</w:t>
      </w:r>
      <w:r>
        <w:rPr>
          <w:rFonts w:ascii="Lato" w:hAnsi="Lato" w:eastAsia="Tahoma"/>
          <w:sz w:val="16"/>
          <w:lang w:val="fr-FR"/>
        </w:rPr>
        <w:t xml:space="preserve">teur, si ce prix est inférieur au prix demandé.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w:t>
      </w:r>
      <w:r>
        <w:rPr>
          <w:rFonts w:ascii="Lato" w:hAnsi="Lato" w:eastAsia="Tahoma"/>
          <w:sz w:val="16"/>
          <w:lang w:val="fr-FR"/>
        </w:rPr>
        <w:t xml:space="preserve">Séquestre :</w:t>
      </w:r>
      <w:r>
        <w:rPr>
          <w:rFonts w:ascii="Lato" w:hAnsi="Lato" w:eastAsia="Tahoma"/>
          <w:sz w:val="16"/>
          <w:lang w:val="fr-FR"/>
        </w:rPr>
        <w:t xml:space="preserve"> En vue de garantir la bonne </w:t>
      </w:r>
      <w:r>
        <w:rPr>
          <w:rFonts w:ascii="Lato" w:hAnsi="Lato" w:eastAsia="Tahoma"/>
          <w:sz w:val="16"/>
          <w:lang w:val="fr-FR"/>
        </w:rPr>
        <w:t xml:space="preserve">exécution</w:t>
      </w:r>
      <w:r>
        <w:rPr>
          <w:rFonts w:ascii="Lato" w:hAnsi="Lato" w:eastAsia="Tahoma"/>
          <w:sz w:val="16"/>
          <w:lang w:val="fr-FR"/>
        </w:rPr>
        <w:t xml:space="preserve"> des présentes et de leur suite, les fonds ou valeurs qu'il est d'usage de faire verser par l'acquéreur seront détenus par tout séquestre </w:t>
      </w:r>
      <w:r>
        <w:rPr>
          <w:rFonts w:ascii="Lato" w:hAnsi="Lato" w:eastAsia="Tahoma"/>
          <w:sz w:val="16"/>
          <w:lang w:val="fr-FR"/>
        </w:rPr>
        <w:t xml:space="preserve">habiliter</w:t>
      </w:r>
      <w:r>
        <w:rPr>
          <w:rFonts w:ascii="Lato" w:hAnsi="Lato" w:eastAsia="Tahoma"/>
          <w:sz w:val="16"/>
          <w:lang w:val="fr-FR"/>
        </w:rPr>
        <w:t xml:space="preserve"> à cet effet (notaire ou agence titulaire d'une garantie financière).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loi Carrez</w:t>
      </w:r>
      <w:r>
        <w:rPr>
          <w:rFonts w:ascii="Lato" w:hAnsi="Lato" w:eastAsia="Tahoma"/>
          <w:sz w:val="16"/>
          <w:lang w:val="fr-FR"/>
        </w:rPr>
        <w:t xml:space="preserve">):</w:t>
      </w:r>
      <w:r>
        <w:rPr>
          <w:rFonts w:ascii="Lato" w:hAnsi="Lato" w:eastAsia="Tahoma"/>
          <w:sz w:val="16"/>
          <w:lang w:val="fr-FR"/>
        </w:rPr>
        <w:t xml:space="preserve"> si nous ne vous fournissons pas l'attestation des surfaces sous huitaine, nous vous autorisons à faire établir à nos frais, par un homme de l'art, une attestation mentionnant les métrés de la partie privative des biens objet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w:t>
      </w:r>
      <w:r>
        <w:rPr>
          <w:rFonts w:ascii="Lato" w:hAnsi="Lato" w:eastAsia="Tahoma"/>
          <w:sz w:val="16"/>
          <w:lang w:val="fr-FR"/>
        </w:rPr>
        <w:t xml:space="preserve">technique :</w:t>
      </w:r>
      <w:r>
        <w:rPr>
          <w:rFonts w:ascii="Lato" w:hAnsi="Lato" w:eastAsia="Tahoma"/>
          <w:sz w:val="16"/>
          <w:lang w:val="fr-FR"/>
        </w:rPr>
        <w:t xml:space="preserve"> le vendeur fera effectuer sans délai l'ensemble des constats, états et diagnostics obligatoires. Ce dossier devra être annexé à l'engagement des parties.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w:t>
      </w:r>
      <w:r>
        <w:rPr>
          <w:rFonts w:ascii="Lato" w:hAnsi="Lato" w:eastAsia="Tahoma"/>
          <w:sz w:val="16"/>
          <w:lang w:val="fr-FR"/>
        </w:rPr>
        <w:t xml:space="preserve">adjoindre</w:t>
      </w:r>
      <w:r>
        <w:rPr>
          <w:rFonts w:ascii="Lato" w:hAnsi="Lato" w:eastAsia="Tahoma"/>
          <w:sz w:val="16"/>
          <w:lang w:val="fr-FR"/>
        </w:rPr>
        <w:t xml:space="preserve"> ou substituer tout professionnel de votre choix pour l'accomplissement des présentes.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w:t>
      </w:r>
      <w:r>
        <w:rPr>
          <w:rFonts w:ascii="Lato" w:hAnsi="Lato" w:eastAsia="Tahoma"/>
          <w:sz w:val="16"/>
          <w:lang w:val="fr-FR"/>
        </w:rPr>
        <w:t xml:space="preserve">expressément</w:t>
      </w:r>
      <w:r>
        <w:rPr>
          <w:rFonts w:ascii="Lato" w:hAnsi="Lato" w:eastAsia="Tahoma"/>
          <w:sz w:val="16"/>
          <w:lang w:val="fr-FR"/>
        </w:rPr>
        <w:t xml:space="preserve"> le mandataire à demander au syndic en son nom et à ses frais, communication et copie des documents devant être présentés ou fournis à l'acquéreur, notamment le règlement de copropriété, le carnet d'entretien de l'</w:t>
      </w:r>
      <w:r>
        <w:rPr>
          <w:rFonts w:ascii="Lato" w:hAnsi="Lato" w:eastAsia="Tahoma"/>
          <w:sz w:val="16"/>
          <w:lang w:val="fr-FR"/>
        </w:rPr>
        <w:t xml:space="preserve">immeuble, le</w:t>
      </w:r>
      <w:r>
        <w:rPr>
          <w:rFonts w:ascii="Lato" w:hAnsi="Lato" w:eastAsia="Tahoma"/>
          <w:sz w:val="16"/>
          <w:lang w:val="fr-FR"/>
        </w:rPr>
        <w:t xml:space="preserve"> plan pluriannuel de travaux , le diagnostic </w:t>
      </w:r>
      <w:r>
        <w:rPr>
          <w:rFonts w:ascii="Lato" w:hAnsi="Lato" w:eastAsia="Tahoma"/>
          <w:sz w:val="16"/>
          <w:lang w:val="fr-FR"/>
        </w:rPr>
        <w:t xml:space="preserve">technique, les</w:t>
      </w:r>
      <w:r>
        <w:rPr>
          <w:rFonts w:ascii="Lato" w:hAnsi="Lato" w:eastAsia="Tahoma"/>
          <w:sz w:val="16"/>
          <w:lang w:val="fr-FR"/>
        </w:rPr>
        <w:t xml:space="preserve"> diagnost</w:t>
      </w:r>
      <w:r>
        <w:rPr>
          <w:rFonts w:ascii="Lato" w:hAnsi="Lato" w:eastAsia="Tahoma"/>
          <w:sz w:val="16"/>
          <w:lang w:val="fr-FR"/>
        </w:rPr>
        <w:t xml:space="preserve">ics amiante, plomb, et termites concernant les parties communes, et l'état prévus par l'article 721-2 du CCH (cette autorisation ne concerne que les documents non déjà fournis; les documents ainsi obtenus sont réputés la propriété du mandant et lui seront </w:t>
      </w:r>
      <w:r>
        <w:rPr>
          <w:rFonts w:ascii="Lato" w:hAnsi="Lato" w:eastAsia="Tahoma"/>
          <w:sz w:val="16"/>
          <w:lang w:val="fr-FR"/>
        </w:rPr>
        <w:t xml:space="preserve">restitués</w:t>
      </w:r>
      <w:r>
        <w:rPr>
          <w:rFonts w:ascii="Lato" w:hAnsi="Lato" w:eastAsia="Tahoma"/>
          <w:sz w:val="16"/>
          <w:lang w:val="fr-FR"/>
        </w:rPr>
        <w:t xml:space="preserve"> en fin de </w:t>
      </w:r>
      <w:r>
        <w:rPr>
          <w:rFonts w:ascii="Lato" w:hAnsi="Lato" w:eastAsia="Tahoma"/>
          <w:sz w:val="16"/>
          <w:lang w:val="fr-FR"/>
        </w:rPr>
        <w:t xml:space="preserve">mission</w:t>
      </w:r>
      <w:r>
        <w:rPr>
          <w:rFonts w:ascii="Lato" w:hAnsi="Lato" w:eastAsia="Tahoma"/>
          <w:sz w:val="16"/>
          <w:lang w:val="fr-FR"/>
        </w:rPr>
        <w:t xml:space="preserv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r>
        <w:rPr>
          <w:rFonts w:ascii="Lato" w:hAnsi="Lato" w:eastAsia="Tahoma"/>
          <w:sz w:val="16"/>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10. Mandat</w:t>
      </w:r>
      <w:r>
        <w:rPr>
          <w:rFonts w:ascii="Lato" w:hAnsi="Lato" w:eastAsia="Tahoma"/>
          <w:b/>
          <w:sz w:val="20"/>
          <w:u w:val="single"/>
          <w:lang w:val="fr-FR"/>
        </w:rPr>
        <w:t xml:space="preserve"> simple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sans exclusivité. En conséquence, et sous réserve de nos obligations fixées au $ IX ci-dessus, nous gardons toute liberté de vendre par nous-mêmes ou par l'</w:t>
      </w:r>
      <w:r>
        <w:rPr>
          <w:rFonts w:ascii="Lato" w:hAnsi="Lato" w:eastAsia="Tahoma"/>
          <w:sz w:val="16"/>
          <w:lang w:val="fr-FR"/>
        </w:rPr>
        <w:t xml:space="preserve">intermédiaire</w:t>
      </w:r>
      <w:r>
        <w:rPr>
          <w:rFonts w:ascii="Lato" w:hAnsi="Lato" w:eastAsia="Tahoma"/>
          <w:sz w:val="16"/>
          <w:lang w:val="fr-FR"/>
        </w:rPr>
        <w:t xml:space="preserve"> d'une autre agence.</w:t>
      </w:r>
      <w:r/>
      <w:r>
        <w:rPr>
          <w:rFonts w:ascii="Lato" w:hAnsi="Lato" w:eastAsia="Tahoma"/>
          <w:sz w:val="16"/>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 11. Vente sans votre concours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w:t>
      </w:r>
      <w:r>
        <w:rPr>
          <w:rFonts w:ascii="Lato" w:hAnsi="Lato" w:eastAsia="Tahoma"/>
          <w:sz w:val="16"/>
          <w:lang w:val="fr-FR"/>
        </w:rPr>
        <w:t xml:space="preserve">concours, nous</w:t>
      </w:r>
      <w:r>
        <w:rPr>
          <w:rFonts w:ascii="Lato" w:hAnsi="Lato" w:eastAsia="Tahoma"/>
          <w:sz w:val="16"/>
          <w:lang w:val="fr-FR"/>
        </w:rPr>
        <w:t xml:space="preserve">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 12. Clause </w:t>
      </w:r>
      <w:r>
        <w:rPr>
          <w:rFonts w:ascii="Lato" w:hAnsi="Lato" w:eastAsia="Tahoma"/>
          <w:b/>
          <w:sz w:val="20"/>
          <w:u w:val="single"/>
          <w:lang w:val="fr-FR"/>
        </w:rPr>
        <w:t xml:space="preserve">pénale :</w:t>
      </w:r>
      <w:r>
        <w:rPr>
          <w:rFonts w:ascii="Lato" w:hAnsi="Lato" w:eastAsia="Tahoma"/>
          <w:sz w:val="16"/>
          <w:lang w:val="fr-FR"/>
        </w:rPr>
        <w:t xml:space="preserve"> En cas de </w:t>
      </w:r>
      <w:r>
        <w:rPr>
          <w:rFonts w:ascii="Lato" w:hAnsi="Lato" w:eastAsia="Tahoma"/>
          <w:sz w:val="16"/>
          <w:lang w:val="fr-FR"/>
        </w:rPr>
        <w:t xml:space="preserve">non-respect</w:t>
      </w:r>
      <w:r>
        <w:rPr>
          <w:rFonts w:ascii="Lato" w:hAnsi="Lato" w:eastAsia="Tahoma"/>
          <w:sz w:val="16"/>
          <w:lang w:val="fr-FR"/>
        </w:rPr>
        <w:t xml:space="preserve"> de la clause ci-dessus, le mandant versera une indemnité compensatrice forfaitaire correspondant à la moitié de la rémunération convenue. Par ailleurs, en cas de</w:t>
      </w:r>
      <w:r>
        <w:rPr>
          <w:rFonts w:ascii="Lato" w:hAnsi="Lato" w:eastAsia="Tahoma"/>
          <w:sz w:val="16"/>
          <w:lang w:val="fr-FR"/>
        </w:rPr>
        <w:t xml:space="preserve"> vente à un acquéreur ayant eu connaissance de la vente du bien par l'intermédiaire de l'agence, ou de refus de vendre à un acquéreur qui aurait été présenté par l'agence, ou en cas d'infraction à une clause de préférence définie à l'article 11 du présent </w:t>
      </w:r>
      <w:r>
        <w:rPr>
          <w:rFonts w:ascii="Lato" w:hAnsi="Lato" w:eastAsia="Tahoma"/>
          <w:sz w:val="16"/>
          <w:lang w:val="fr-FR"/>
        </w:rPr>
        <w:t xml:space="preserve">mandat, le</w:t>
      </w:r>
      <w:r>
        <w:rPr>
          <w:rFonts w:ascii="Lato" w:hAnsi="Lato" w:eastAsia="Tahoma"/>
          <w:sz w:val="16"/>
          <w:lang w:val="fr-FR"/>
        </w:rPr>
        <w:t xml:space="preserve"> mandant versera une indemnité compensatrice forfaitaire égale à la rémunération prévue au présent mandat. </w:t>
      </w:r>
      <w:r/>
      <w:r>
        <w:rPr>
          <w:rFonts w:ascii="Lato" w:hAnsi="Lato" w:eastAsia="Tahoma"/>
          <w:b/>
          <w:sz w:val="20"/>
          <w:u w:val="single"/>
          <w:lang w:val="fr-FR"/>
        </w:rPr>
      </w:r>
      <w:r/>
      <w:r>
        <w:rPr>
          <w:rFonts w:ascii="Lato" w:hAnsi="Lato" w:eastAsia="Tahoma"/>
          <w:b/>
          <w:sz w:val="18"/>
          <w:u w:val="singl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13. Obligations du </w:t>
      </w:r>
      <w:r>
        <w:rPr>
          <w:rFonts w:ascii="Lato" w:hAnsi="Lato" w:eastAsia="Tahoma"/>
          <w:b/>
          <w:sz w:val="20"/>
          <w:u w:val="single"/>
          <w:lang w:val="fr-FR"/>
        </w:rPr>
        <w:t xml:space="preserve">mandant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 à examiner toutes les offres reçues par votre intermédiaire. En cas de </w:t>
      </w:r>
      <w:r>
        <w:rPr>
          <w:rFonts w:ascii="Lato" w:hAnsi="Lato" w:eastAsia="Tahoma"/>
          <w:sz w:val="16"/>
          <w:lang w:val="fr-FR"/>
        </w:rPr>
        <w:t xml:space="preserve">présentation ratifier</w:t>
      </w:r>
      <w:r>
        <w:rPr>
          <w:rFonts w:ascii="Lato" w:hAnsi="Lato" w:eastAsia="Tahoma"/>
          <w:sz w:val="16"/>
          <w:lang w:val="fr-FR"/>
        </w:rPr>
        <w:t xml:space="preserve"> la vente à tout acquéreur que vous nous présenterez en acceptant les prix et conditions des présentes, et à libérer les lieux pour le jour de l'acte authentique.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-Clause pénale : En cas d'infraction aux obligations stipulées au paragraphe ci-dessus, le mandant versera une indemnité compensatrice forfaitaire égale à la rémunération prévue au présent mandat</w:t>
      </w:r>
      <w:r/>
      <w:r>
        <w:rPr>
          <w:rFonts w:ascii="Lato" w:hAnsi="Lato" w:eastAsia="Tahoma"/>
          <w:b/>
          <w:sz w:val="18"/>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14. Discrimination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16"/>
          <w:lang w:val="fr-FR"/>
        </w:rPr>
        <w:t xml:space="preserve">Les parties prennent l'engagement exprès de n'opposer à</w:t>
      </w:r>
      <w:r>
        <w:rPr>
          <w:rFonts w:ascii="Lato" w:hAnsi="Lato" w:eastAsia="Tahoma"/>
          <w:sz w:val="16"/>
          <w:lang w:val="fr-FR"/>
        </w:rPr>
        <w:t xml:space="preserve"> un candidat à l'acquisition des présents biens aucun refus fondé sur un motif discriminatoire au sens de l'article 225-1 du code pénal. Toute discrimination commise à l'égard d'une personne est punie de trois ans d'emprisonnement et 45 000 euros d'amende </w:t>
      </w:r>
      <w:r>
        <w:rPr>
          <w:rFonts w:ascii="Lato" w:hAnsi="Lato" w:eastAsia="Tahoma"/>
          <w:sz w:val="16"/>
          <w:lang w:val="fr-FR"/>
        </w:rPr>
        <w:t xml:space="preserve">(article</w:t>
      </w:r>
      <w:r>
        <w:rPr>
          <w:rFonts w:ascii="Lato" w:hAnsi="Lato" w:eastAsia="Tahoma"/>
          <w:sz w:val="16"/>
          <w:lang w:val="fr-FR"/>
        </w:rPr>
        <w:t xml:space="preserve"> 225-2 du code pénal).</w:t>
      </w:r>
      <w:r/>
      <w:r>
        <w:rPr>
          <w:rFonts w:ascii="Lato" w:hAnsi="Lato" w:eastAsia="Tahoma"/>
          <w:b/>
          <w:sz w:val="18"/>
          <w:u w:val="single"/>
          <w:lang w:val="fr-FR"/>
        </w:rPr>
      </w:r>
      <w:r/>
      <w:r>
        <w:rPr>
          <w:rFonts w:ascii="Lato" w:hAnsi="Lato" w:eastAsia="Tahoma"/>
          <w:sz w:val="20"/>
          <w:lang w:val="fr-FR"/>
        </w:rPr>
      </w:r>
    </w:p>
    <w:p>
      <w:pPr>
        <w:spacing w:after="160" w:line="259" w:lineRule="auto"/>
        <w:rPr>
          <w:rFonts w:ascii="Lato" w:hAnsi="Lato" w:eastAsia="Tahoma"/>
          <w:lang w:val="fr-FR"/>
        </w:rPr>
      </w:pPr>
      <w:r>
        <w:rPr>
          <w:rFonts w:ascii="Lato" w:hAnsi="Lato" w:eastAsia="Tahoma"/>
          <w:b/>
          <w:u w:val="single"/>
          <w:lang w:val="fr-FR"/>
        </w:rPr>
        <w:t xml:space="preserve">15. Médiation des litiges de la consommation :</w:t>
      </w:r>
      <w:r/>
      <w:r>
        <w:rPr>
          <w:rFonts w:ascii="Lato" w:hAnsi="Lato" w:eastAsia="Tahoma"/>
          <w:sz w:val="16"/>
          <w:lang w:val="fr-FR"/>
        </w:rPr>
        <w:t xml:space="preserve">Tout consommateur a le droit de recourir gratuitement à un médiateur de la consommation en vue de l</w:t>
      </w:r>
      <w:r>
        <w:rPr>
          <w:rFonts w:ascii="Lato" w:hAnsi="Lato" w:eastAsia="Tahoma"/>
          <w:sz w:val="16"/>
          <w:lang w:val="fr-FR"/>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r>
        <w:rPr>
          <w:rFonts w:ascii="Lato" w:hAnsi="Lato" w:eastAsia="Tahoma"/>
          <w:lang w:val="fr-FR"/>
        </w:rPr>
      </w:r>
      <w:r>
        <w:rPr>
          <w:rFonts w:ascii="Lato" w:hAnsi="Lato" w:eastAsia="Tahoma"/>
          <w:sz w:val="18"/>
          <w:lang w:val="fr-FR"/>
        </w:rPr>
        <w:t xml:space="preserve">Notre médiateur de la </w:t>
      </w:r>
      <w:r>
        <w:rPr>
          <w:rFonts w:ascii="Lato" w:hAnsi="Lato" w:eastAsia="Tahoma"/>
          <w:sz w:val="18"/>
          <w:lang w:val="fr-FR"/>
        </w:rPr>
        <w:t xml:space="preserve">consommation :</w:t>
      </w:r>
      <w:r>
        <w:rPr>
          <w:rFonts w:ascii="Lato" w:hAnsi="Lato" w:eastAsia="Tahoma"/>
          <w:sz w:val="18"/>
          <w:lang w:val="fr-FR"/>
        </w:rPr>
        <w:t xml:space="preserve"> </w:t>
      </w:r>
      <w:r>
        <w:rPr>
          <w:rFonts w:ascii="Lato" w:hAnsi="Lato" w:eastAsia="Tahoma"/>
          <w:sz w:val="16"/>
          <w:lang w:val="fr-FR"/>
        </w:rPr>
        <w:t xml:space="preserve">Vivons mieux ensemble 465 avenue de la Libération 54000 Nancy</w:t>
      </w:r>
      <w:r/>
      <w:r>
        <w:rPr>
          <w:rFonts w:ascii="Lato" w:hAnsi="Lato" w:eastAsia="Tahoma"/>
          <w:lang w:val="fr-FR"/>
        </w:rPr>
      </w:r>
      <w:r>
        <w:rPr>
          <w:rFonts w:ascii="Lato" w:hAnsi="Lato" w:eastAsia="Tahoma"/>
          <w:sz w:val="16"/>
          <w:lang w:val="fr-FR"/>
        </w:rPr>
        <w:t xml:space="preserve">06 61 18 50 97 www.mediation-vivons-mieux-ensemble.fr /mediation@vivons-mieux-ensemble.fr</w:t>
      </w:r>
      <w:r/>
      <w:r>
        <w:rPr>
          <w:rFonts w:ascii="Lato" w:hAnsi="Lato" w:eastAsia="Tahoma"/>
          <w:lang w:val="fr-FR"/>
        </w:rPr>
      </w:r>
      <w:r>
        <w:rPr>
          <w:rFonts w:ascii="Lato" w:hAnsi="Lato" w:eastAsia="Tahoma"/>
          <w:sz w:val="18"/>
          <w:lang w:val="fr-FR"/>
        </w:rPr>
      </w:r>
      <w:r/>
      <w:r>
        <w:rPr>
          <w:rFonts w:ascii="Lato" w:hAnsi="Lato" w:eastAsia="Tahoma"/>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16. Informatique, liberté, </w:t>
      </w:r>
      <w:r>
        <w:rPr>
          <w:rFonts w:ascii="Lato" w:hAnsi="Lato" w:eastAsia="Tahoma"/>
          <w:b/>
          <w:sz w:val="20"/>
          <w:u w:val="single"/>
          <w:lang w:val="fr-FR"/>
        </w:rPr>
        <w:t xml:space="preserve">RGPD :</w:t>
      </w:r>
      <w:r/>
      <w:r>
        <w:rPr>
          <w:rFonts w:ascii="Lato" w:hAnsi="Lato" w:eastAsia="Tahoma"/>
          <w:sz w:val="18"/>
          <w:lang w:val="fr-FR"/>
        </w:rPr>
      </w:r>
      <w:r/>
      <w:r>
        <w:rPr>
          <w:rFonts w:ascii="Lato" w:hAnsi="Lato" w:eastAsia="Tahoma"/>
          <w:b/>
          <w:sz w:val="20"/>
          <w:u w:val="singl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w:t>
      </w:r>
      <w:r>
        <w:rPr>
          <w:rFonts w:ascii="Lato" w:hAnsi="Lato" w:eastAsia="Tahoma"/>
          <w:sz w:val="16"/>
          <w:lang w:val="fr-FR"/>
        </w:rPr>
        <w:t xml:space="preserve">(nom</w:t>
      </w:r>
      <w:r>
        <w:rPr>
          <w:rFonts w:ascii="Lato" w:hAnsi="Lato" w:eastAsia="Tahoma"/>
          <w:sz w:val="16"/>
          <w:lang w:val="fr-FR"/>
        </w:rPr>
        <w:t xml:space="preserve">, adresse, email et postale)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6"/>
          <w:lang w:val="fr-FR"/>
        </w:rPr>
        <w:t xml:space="preserve">Le mandant reconnaît avoir pris connaissance et accepter la dite politique.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t xml:space="preserve">Le mandant déclare et reconnaît que préalablement à la signature des présentes, il a reçu les informations prévues aux articles L111-1, L111-2 et L121-17 du Code de la </w:t>
      </w:r>
      <w:r>
        <w:rPr>
          <w:rFonts w:ascii="Lato" w:hAnsi="Lato" w:eastAsia="Tahoma"/>
          <w:b/>
          <w:sz w:val="16"/>
          <w:lang w:val="fr-FR"/>
        </w:rPr>
        <w:t xml:space="preserve">consommation,</w:t>
      </w:r>
      <w:r>
        <w:rPr>
          <w:rFonts w:ascii="Lato" w:hAnsi="Lato" w:eastAsia="Tahoma"/>
          <w:b/>
          <w:sz w:val="16"/>
          <w:lang w:val="fr-FR"/>
        </w:rPr>
        <w:t xml:space="preserve"> qu'il a eu le temps nécessaire et suffisant pour en prendre connaissance, se renseigner et les comprendre, ainsi que du traitement des données personnelles </w:t>
      </w:r>
      <w:r>
        <w:rPr>
          <w:rFonts w:ascii="Lato" w:hAnsi="Lato" w:eastAsia="Tahoma"/>
          <w:b/>
          <w:sz w:val="16"/>
          <w:lang w:val="fr-FR"/>
        </w:rPr>
        <w:t xml:space="preserve">(RGPD</w:t>
      </w:r>
      <w:r>
        <w:rPr>
          <w:rFonts w:ascii="Lato" w:hAnsi="Lato" w:eastAsia="Tahoma"/>
          <w:b/>
          <w:sz w:val="16"/>
          <w:lang w:val="fr-FR"/>
        </w:rPr>
        <w:t xml:space="preserve">) par le mandataire.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Il reconnaît avoir pris connaissance des conditions générales de l'intégralité des présentes pages 1 à 4.</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u w:val="single"/>
          <w:lang w:val="fr-FR"/>
        </w:rPr>
        <w:t xml:space="preserve">Option Exécution immédiate du mandat.</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prestations devant être </w:t>
      </w:r>
      <w:r>
        <w:rPr>
          <w:rFonts w:ascii="Lato" w:hAnsi="Lato" w:eastAsia="Tahoma"/>
          <w:sz w:val="16"/>
          <w:lang w:val="fr-FR"/>
        </w:rPr>
        <w:t xml:space="preserve">exécutées</w:t>
      </w:r>
      <w:r>
        <w:rPr>
          <w:rFonts w:ascii="Lato" w:hAnsi="Lato" w:eastAsia="Tahoma"/>
          <w:sz w:val="16"/>
          <w:lang w:val="fr-FR"/>
        </w:rPr>
        <w:t xml:space="preserve"> par le mandataire dans le cadre des présentes et notamment la diffusion d'annonces portant sur l'offre de vente des biens, peuvent débuter dès aujourd'hui, mais nous conservons la faculté de nous rétracter.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lang w:val="fr-FR"/>
        </w:rPr>
        <w:t xml:space="preserve"> Fait à                                                     le 2024-10-24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mandant reconnaît </w:t>
      </w:r>
      <w:r>
        <w:rPr>
          <w:rFonts w:ascii="Lato" w:hAnsi="Lato" w:eastAsia="Tahoma"/>
          <w:sz w:val="16"/>
          <w:lang w:val="fr-FR"/>
        </w:rPr>
        <w:t xml:space="preserve">expressément</w:t>
      </w:r>
      <w:r>
        <w:rPr>
          <w:rFonts w:ascii="Lato" w:hAnsi="Lato" w:eastAsia="Tahoma"/>
          <w:sz w:val="16"/>
          <w:lang w:val="fr-FR"/>
        </w:rPr>
        <w:t xml:space="preserve"> qu'un exemplaire du mandat numéroté et signé est laissé en sa possession à l'issue de la ratification des présentes.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(s) Propriétaire(s)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LVT</w:t>
      </w:r>
      <w:r>
        <w:rPr>
          <w:rFonts w:ascii="Lato" w:hAnsi="Lato" w:eastAsia="Tahoma"/>
          <w:sz w:val="16"/>
          <w:lang w:val="fr-FR"/>
        </w:rPr>
        <w:t xml:space="preserve"> IMMOBILIER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'Lu et approuvé, Bon pour mandat' </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'Lu et </w:t>
      </w:r>
      <w:r>
        <w:rPr>
          <w:rFonts w:ascii="Lato" w:hAnsi="Lato" w:eastAsia="Tahoma"/>
          <w:sz w:val="16"/>
          <w:lang w:val="fr-FR"/>
        </w:rPr>
        <w:t xml:space="preserve">approuvé, Mandat</w:t>
      </w:r>
      <w:r>
        <w:rPr>
          <w:rFonts w:ascii="Lato" w:hAnsi="Lato" w:eastAsia="Tahoma"/>
          <w:sz w:val="16"/>
          <w:lang w:val="fr-FR"/>
        </w:rPr>
        <w:t xml:space="preserve"> Accepté'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ab/>
        <w:tab/>
        <w:tab/>
        <w:tab/>
        <w:tab/>
      </w:r>
      <w:r>
        <w:rPr>
          <w:rFonts w:ascii="Lato" w:hAnsi="Lato" w:eastAsia="Tahoma"/>
          <w:sz w:val="16"/>
          <w:lang w:val="fr-FR"/>
        </w:rPr>
        <mc:AlternateContent>
          <mc:Choice Requires="wpg">
            <w:drawing>
              <wp:inline xmlns:wp="http://schemas.openxmlformats.org/drawingml/2006/wordprocessingDrawing" distT="0" distB="0" distL="0" distR="0">
                <wp:extent cx="2682875" cy="1409299"/>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817441" name=""/>
                        <pic:cNvPicPr>
                          <a:picLocks noChangeAspect="1"/>
                        </pic:cNvPicPr>
                        <pic:nvPr/>
                      </pic:nvPicPr>
                      <pic:blipFill>
                        <a:blip r:embed="rId12"/>
                        <a:stretch/>
                      </pic:blipFill>
                      <pic:spPr bwMode="auto">
                        <a:xfrm flipH="0" flipV="0">
                          <a:off x="0" y="0"/>
                          <a:ext cx="2682874" cy="140929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211.2pt;height:111.0pt;mso-wrap-distance-left:0.0pt;mso-wrap-distance-top:0.0pt;mso-wrap-distance-right:0.0pt;mso-wrap-distance-bottom:0.0pt;" stroked="false">
                <v:path textboxrect="0,0,0,0"/>
                <v:imagedata r:id="rId12" o:title=""/>
              </v:shape>
            </w:pict>
          </mc:Fallback>
        </mc:AlternateContent>
      </w: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lang w:val="fr-FR"/>
        </w:rPr>
      </w:pPr>
      <w:r>
        <w:rPr>
          <w:rFonts w:ascii="Lato" w:hAnsi="Lato"/>
          <w:lang w:val="fr-FR"/>
        </w:rPr>
        <w:t xml:space="preserve">=======================================================</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b/>
          <w:sz w:val="28"/>
          <w:lang w:val="fr-FR"/>
        </w:rPr>
      </w:pPr>
      <w:r>
        <w:rPr>
          <w:rFonts w:ascii="Lato" w:hAnsi="Lato"/>
          <w:b/>
          <w:sz w:val="28"/>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b/>
          <w:sz w:val="28"/>
          <w:lang w:val="fr-FR"/>
        </w:rPr>
        <w:t xml:space="preserve">FORMULAIRE DE RETRACTATION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 l'attention de</w:t>
      </w:r>
      <w:r>
        <w:rPr>
          <w:rFonts w:ascii="Lato" w:hAnsi="Lato" w:eastAsia="Tahoma"/>
          <w:b/>
          <w:sz w:val="20"/>
          <w:lang w:val="fr-FR"/>
        </w:rPr>
        <w:t xml:space="preserve"> LVT IMMOBILIER - Rue Jean Tarde 24200 SARLAT LA CANEDA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Je /nous notifie/notifions par la présente notre rétractation du contrat de mandat 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Nom.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Prénom.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Adresse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Date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sz w:val="20"/>
          <w:lang w:val="fr-FR"/>
        </w:rPr>
        <w:t xml:space="preserve">Signature(s)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spacing w:after="160" w:line="259" w:lineRule="auto"/>
        <w:rPr>
          <w:rFonts w:ascii="Lato" w:hAnsi="Lato" w:eastAsia="Tahoma"/>
          <w:b/>
          <w:sz w:val="16"/>
          <w:u w:val="single"/>
          <w:lang w:val="fr-FR"/>
        </w:rPr>
      </w:pPr>
      <w:r>
        <w:rPr>
          <w:rFonts w:ascii="Lato" w:hAnsi="Lato" w:eastAsia="Tahoma"/>
          <w:b/>
          <w:sz w:val="16"/>
          <w:u w:val="single"/>
          <w:lang w:val="fr-FR"/>
        </w:rPr>
        <w:br w:type="page" w:clear="all"/>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u w:val="single"/>
          <w:lang w:val="fr-FR"/>
        </w:rPr>
        <w:t xml:space="preserve">INFORMATIONS PRECONTRACTUELLES</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Préalables à la signature d'un mandat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Communication au consommateur en application des articles L111-11 et suivants du code de la consommation, le professionnel prestataire de services avec lequel vous entrez en relation vous </w:t>
      </w:r>
      <w:r>
        <w:rPr>
          <w:rFonts w:ascii="Lato" w:hAnsi="Lato" w:eastAsia="Tahoma"/>
          <w:sz w:val="16"/>
          <w:lang w:val="fr-FR"/>
        </w:rPr>
        <w:t xml:space="preserve">informe:</w:t>
      </w:r>
      <w:r>
        <w:rPr>
          <w:rFonts w:ascii="Lato" w:hAnsi="Lato" w:eastAsia="Tahoma"/>
          <w:sz w:val="16"/>
          <w:lang w:val="fr-FR"/>
        </w:rPr>
        <w:t xml:space="preserve">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SASU LVT, AGENCE LVT IMMOBILIER, sise Rue Jean Tarde 24200 SARLAT LA CANEDA, lvt.immobilier@gmail.com- 05 53 29 99 36, titulaire de la carte professionnelle "Transaction sur Immeubles et Fonds de Commerce" CPI 2402 2016 000 003 817 </w:t>
      </w:r>
      <w:r>
        <w:rPr>
          <w:rFonts w:ascii="Lato" w:hAnsi="Lato" w:eastAsia="Tahoma"/>
          <w:sz w:val="16"/>
          <w:lang w:val="fr-FR"/>
        </w:rPr>
        <w:t xml:space="preserve">delivrée</w:t>
      </w:r>
      <w:r>
        <w:rPr>
          <w:rFonts w:ascii="Lato" w:hAnsi="Lato" w:eastAsia="Tahoma"/>
          <w:sz w:val="16"/>
          <w:lang w:val="fr-FR"/>
        </w:rPr>
        <w:t xml:space="preserve"> par la CCI de la </w:t>
      </w:r>
      <w:r>
        <w:rPr>
          <w:rFonts w:ascii="Lato" w:hAnsi="Lato" w:eastAsia="Tahoma"/>
          <w:sz w:val="16"/>
          <w:lang w:val="fr-FR"/>
        </w:rPr>
        <w:t xml:space="preserve">Dordogne ,</w:t>
      </w:r>
      <w:r>
        <w:rPr>
          <w:rFonts w:ascii="Lato" w:hAnsi="Lato" w:eastAsia="Tahoma"/>
          <w:sz w:val="16"/>
          <w:lang w:val="fr-FR"/>
        </w:rPr>
        <w:t xml:space="preserve"> non réception de fonds, effets ou valeurs, RCP AXA, sans garantie financière, SIRET 813 648 821 00011- RCS BERGERAC 813 648 821 Représentée par : Laura VERNET Présidente.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 litige lié à l'</w:t>
      </w:r>
      <w:r>
        <w:rPr>
          <w:rFonts w:ascii="Lato" w:hAnsi="Lato" w:eastAsia="Tahoma"/>
          <w:sz w:val="16"/>
          <w:lang w:val="fr-FR"/>
        </w:rPr>
        <w:t xml:space="preserve">éxécution</w:t>
      </w:r>
      <w:r>
        <w:rPr>
          <w:rFonts w:ascii="Lato" w:hAnsi="Lato" w:eastAsia="Tahoma"/>
          <w:sz w:val="16"/>
          <w:lang w:val="fr-FR"/>
        </w:rPr>
        <w:t xml:space="preserve"> du présent mandat, le consommateur peut saisir l'organisme. Vivons mieux ensemble 465 avenue de la Libération 54000 Nancy - 06 61 18 50 97 www.mediation-vivons-mieux-ensemble.fr /mediation@vivons-mieux-ensemble.fr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L'activité d'agent immobilier est régie par la loi°70-9 du 2 janvier 1970 réglementant les</w:t>
      </w:r>
      <w:r>
        <w:rPr>
          <w:rFonts w:ascii="Lato" w:hAnsi="Lato" w:eastAsia="Tahoma"/>
          <w:sz w:val="16"/>
          <w:lang w:val="fr-FR"/>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INFORMATIONS CONCERNANT LES SERVICES PROPOSES PAR L'AGENCE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En qualité de propriétaire, </w:t>
      </w:r>
      <w:r>
        <w:rPr>
          <w:rFonts w:ascii="Lato" w:hAnsi="Lato" w:eastAsia="Tahoma"/>
          <w:sz w:val="16"/>
          <w:lang w:val="fr-FR"/>
        </w:rPr>
        <w:t xml:space="preserve">vous souhaitez nous mandater afin de rechercher un acquéreur et faire toutes les dé</w:t>
      </w:r>
      <w:r>
        <w:rPr>
          <w:rFonts w:ascii="Lato" w:hAnsi="Lato" w:eastAsia="Tahoma"/>
          <w:sz w:val="16"/>
          <w:lang w:val="fr-FR"/>
        </w:rPr>
        <w:t xml:space="preserve">marches en vue de vendre les biens et droits immobiliers qui vous appartiennent. L'agent immobilier est tenu à une obligation de moyens et non de résultat. A cet effet, vous envisager de nous confier un mandat simple de vente avec faculté de rétractation.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DUREE DU MANDAT &amp; CONDITIONS DE RESILIATION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est consenti pour une durée de 24 (</w:t>
      </w:r>
      <w:r>
        <w:rPr>
          <w:rFonts w:ascii="Lato" w:hAnsi="Lato" w:eastAsia="Tahoma"/>
          <w:sz w:val="16"/>
          <w:lang w:val="fr-FR"/>
        </w:rPr>
        <w:t xml:space="preserve">vingt </w:t>
      </w:r>
      <w:r>
        <w:rPr>
          <w:rFonts w:ascii="Lato" w:hAnsi="Lato" w:eastAsia="Tahoma"/>
          <w:sz w:val="16"/>
          <w:lang w:val="fr-FR"/>
        </w:rPr>
        <w:t xml:space="preserve">quatre</w:t>
      </w:r>
      <w:r>
        <w:rPr>
          <w:rFonts w:ascii="Lato" w:hAnsi="Lato" w:eastAsia="Tahoma"/>
          <w:sz w:val="16"/>
          <w:lang w:val="fr-FR"/>
        </w:rPr>
        <w:t xml:space="preserve">)mois</w:t>
      </w:r>
      <w:r>
        <w:rPr>
          <w:rFonts w:ascii="Lato" w:hAnsi="Lato" w:eastAsia="Tahoma"/>
          <w:sz w:val="16"/>
          <w:lang w:val="fr-FR"/>
        </w:rPr>
        <w:t xml:space="preserve">. Il ne pourra être dénoncé pendant les trois premiers mois. Ensuite, il pourra être dénoncé à tout moment, avec un préavis de 15 Jours par Lettre recommandée avec accusé de réception.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MODALITE DE PAIEMENT DES HONORAIRES D'AGENCE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Honoraires de l'agence seront exigibles le jour où l'opératio</w:t>
      </w:r>
      <w:r>
        <w:rPr>
          <w:rFonts w:ascii="Lato" w:hAnsi="Lato" w:eastAsia="Tahoma"/>
          <w:sz w:val="16"/>
          <w:lang w:val="fr-FR"/>
        </w:rPr>
        <w:t xml:space="preserve">n sera effectivement conclue et constaté dans un acte écrit, signé des deux parties et, conformément à l'article 74 du décret N°72-678 du 20 Juillet 1972, après réalisation de toutes les conditions suspensives. Ils pourront être acquittés par virement. En </w:t>
      </w:r>
      <w:r>
        <w:rPr>
          <w:rFonts w:ascii="Lato" w:hAnsi="Lato" w:eastAsia="Tahoma"/>
          <w:sz w:val="16"/>
          <w:lang w:val="fr-FR"/>
        </w:rPr>
        <w:t xml:space="preserve">contre partie</w:t>
      </w:r>
      <w:r>
        <w:rPr>
          <w:rFonts w:ascii="Lato" w:hAnsi="Lato" w:eastAsia="Tahoma"/>
          <w:sz w:val="16"/>
          <w:lang w:val="fr-FR"/>
        </w:rPr>
        <w:t xml:space="preserve"> de l'exécution de sa mission, l'agence percevra des honoraires dont le montant est fixé conformément au </w:t>
      </w:r>
      <w:r>
        <w:rPr>
          <w:rFonts w:ascii="Lato" w:hAnsi="Lato" w:eastAsia="Tahoma"/>
          <w:sz w:val="16"/>
          <w:lang w:val="fr-FR"/>
        </w:rPr>
        <w:t xml:space="preserve">bâreme</w:t>
      </w:r>
      <w:r>
        <w:rPr>
          <w:rFonts w:ascii="Lato" w:hAnsi="Lato" w:eastAsia="Tahoma"/>
          <w:sz w:val="16"/>
          <w:lang w:val="fr-FR"/>
        </w:rPr>
        <w:t xml:space="preserve"> des prestations tenues à disposition et affichées dans l'agence et accessibles à l'adresse suivante : https://www.immobilier-en-dordogne.com/custom/2016/HONORAIRESAGENCE.pdf</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ENGAGEMENTS SPECIFIQUES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Moyens de diffusion des annonces commerciales : BIEN ICI/ SE LOGER/ LE BON COIN/ IMMOFRANCE/ LABEL PIERRES/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u w:val="single"/>
          <w:lang w:val="fr-FR"/>
        </w:rPr>
        <w:t xml:space="preserve">CONDITIONS GENERALES DU MANDAT</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Pouvoirs du </w:t>
      </w:r>
      <w:r>
        <w:rPr>
          <w:rFonts w:ascii="Lato" w:hAnsi="Lato" w:eastAsia="Tahoma"/>
          <w:b/>
          <w:sz w:val="16"/>
          <w:lang w:val="fr-FR"/>
        </w:rPr>
        <w:t xml:space="preserve">mandataire:</w:t>
      </w:r>
      <w:r>
        <w:rPr>
          <w:rFonts w:ascii="Lato" w:hAnsi="Lato" w:eastAsia="Tahoma"/>
          <w:b/>
          <w:sz w:val="16"/>
          <w:lang w:val="fr-FR"/>
        </w:rPr>
        <w:t xml:space="preserv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w:t>
      </w:r>
      <w:r>
        <w:rPr>
          <w:rFonts w:ascii="Lato" w:hAnsi="Lato" w:eastAsia="Tahoma"/>
          <w:sz w:val="16"/>
          <w:lang w:val="fr-FR"/>
        </w:rPr>
        <w:t xml:space="preserve">pouvoirs vous</w:t>
      </w:r>
      <w:r>
        <w:rPr>
          <w:rFonts w:ascii="Lato" w:hAnsi="Lato" w:eastAsia="Tahoma"/>
          <w:sz w:val="16"/>
          <w:lang w:val="fr-FR"/>
        </w:rPr>
        <w:t xml:space="preserve"> sont donnés pour mener à bien votre mission. Vous pourrez notamment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(internet, ...) mais à vos frais </w:t>
      </w:r>
      <w:r>
        <w:rPr>
          <w:rFonts w:ascii="Lato" w:hAnsi="Lato" w:eastAsia="Tahoma"/>
          <w:sz w:val="16"/>
          <w:lang w:val="fr-FR"/>
        </w:rPr>
        <w:t xml:space="preserve">seulement;</w:t>
      </w:r>
      <w:r>
        <w:rPr>
          <w:rFonts w:ascii="Lato" w:hAnsi="Lato" w:eastAsia="Tahoma"/>
          <w:sz w:val="16"/>
          <w:lang w:val="fr-FR"/>
        </w:rPr>
        <w:t xml:space="preserve">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w:t>
      </w:r>
      <w:r>
        <w:rPr>
          <w:rFonts w:ascii="Lato" w:hAnsi="Lato" w:eastAsia="Tahoma"/>
          <w:sz w:val="16"/>
          <w:lang w:val="fr-FR"/>
        </w:rPr>
        <w:t xml:space="preserve">Indiquer,présenter</w:t>
      </w:r>
      <w:r>
        <w:rPr>
          <w:rFonts w:ascii="Lato" w:hAnsi="Lato" w:eastAsia="Tahoma"/>
          <w:sz w:val="16"/>
          <w:lang w:val="fr-FR"/>
        </w:rPr>
        <w:t xml:space="preserve"> et faire visiter les biens à vendre à toutes personnes. A cet effet, nous nous obligeons à vous assurer le moyen de visiter pendant le cours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w:t>
      </w:r>
      <w:r>
        <w:rPr>
          <w:rFonts w:ascii="Lato" w:hAnsi="Lato" w:eastAsia="Tahoma"/>
          <w:sz w:val="16"/>
          <w:lang w:val="fr-FR"/>
        </w:rPr>
        <w:t xml:space="preserve">reccueillir</w:t>
      </w:r>
      <w:r>
        <w:rPr>
          <w:rFonts w:ascii="Lato" w:hAnsi="Lato" w:eastAsia="Tahoma"/>
          <w:sz w:val="16"/>
          <w:lang w:val="fr-FR"/>
        </w:rPr>
        <w:t xml:space="preserve"> la signature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d</w:t>
      </w:r>
      <w:r>
        <w:rPr>
          <w:rFonts w:ascii="Lato" w:hAnsi="Lato" w:eastAsia="Tahoma"/>
          <w:sz w:val="16"/>
          <w:lang w:val="fr-FR"/>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w:t>
      </w:r>
      <w:r>
        <w:rPr>
          <w:rFonts w:ascii="Lato" w:hAnsi="Lato" w:eastAsia="Tahoma"/>
          <w:sz w:val="16"/>
          <w:lang w:val="fr-FR"/>
        </w:rPr>
        <w:t xml:space="preserve">Sequestre</w:t>
      </w:r>
      <w:r>
        <w:rPr>
          <w:rFonts w:ascii="Lato" w:hAnsi="Lato" w:eastAsia="Tahoma"/>
          <w:sz w:val="16"/>
          <w:lang w:val="fr-FR"/>
        </w:rPr>
        <w:t xml:space="preserve">:</w:t>
      </w:r>
      <w:r>
        <w:rPr>
          <w:rFonts w:ascii="Lato" w:hAnsi="Lato" w:eastAsia="Tahoma"/>
          <w:sz w:val="16"/>
          <w:lang w:val="fr-FR"/>
        </w:rPr>
        <w:t xml:space="preserv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loi Carrez</w:t>
      </w:r>
      <w:r>
        <w:rPr>
          <w:rFonts w:ascii="Lato" w:hAnsi="Lato" w:eastAsia="Tahoma"/>
          <w:sz w:val="16"/>
          <w:lang w:val="fr-FR"/>
        </w:rPr>
        <w:t xml:space="preserve">):</w:t>
      </w:r>
      <w:r>
        <w:rPr>
          <w:rFonts w:ascii="Lato" w:hAnsi="Lato" w:eastAsia="Tahoma"/>
          <w:sz w:val="16"/>
          <w:lang w:val="fr-FR"/>
        </w:rPr>
        <w:t xml:space="preserve"> si nous ne vous fournissons pas l'attestation des surfaces sous huitaine, nous vous autorisons à faire établir à nos frais, par un homme de l'art, une attestation mentionnant les métrés de la partie privative des biens objet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w:t>
      </w:r>
      <w:r>
        <w:rPr>
          <w:rFonts w:ascii="Lato" w:hAnsi="Lato" w:eastAsia="Tahoma"/>
          <w:sz w:val="16"/>
          <w:lang w:val="fr-FR"/>
        </w:rPr>
        <w:t xml:space="preserve">technique:</w:t>
      </w:r>
      <w:r>
        <w:rPr>
          <w:rFonts w:ascii="Lato" w:hAnsi="Lato" w:eastAsia="Tahoma"/>
          <w:sz w:val="16"/>
          <w:lang w:val="fr-FR"/>
        </w:rPr>
        <w:t xml:space="preserve"> le vendeur fera effectuer sans délai l'ensemble des constats, états et diagnostics obligatoires. Ce dossier devra être annexé à l'engagement des parties.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w:t>
      </w:r>
      <w:r>
        <w:rPr>
          <w:rFonts w:ascii="Lato" w:hAnsi="Lato" w:eastAsia="Tahoma"/>
          <w:sz w:val="16"/>
          <w:lang w:val="fr-FR"/>
        </w:rPr>
        <w:t xml:space="preserve">adjointre</w:t>
      </w:r>
      <w:r>
        <w:rPr>
          <w:rFonts w:ascii="Lato" w:hAnsi="Lato" w:eastAsia="Tahoma"/>
          <w:sz w:val="16"/>
          <w:lang w:val="fr-FR"/>
        </w:rPr>
        <w:t xml:space="preserve"> ou substituer tout professionnel de votre choix pour l'accomplissement des présentes.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w:t>
      </w:r>
      <w:r>
        <w:rPr>
          <w:rFonts w:ascii="Lato" w:hAnsi="Lato" w:eastAsia="Tahoma"/>
          <w:sz w:val="16"/>
          <w:lang w:val="fr-FR"/>
        </w:rPr>
        <w:t xml:space="preserve">expressement</w:t>
      </w:r>
      <w:r>
        <w:rPr>
          <w:rFonts w:ascii="Lato" w:hAnsi="Lato" w:eastAsia="Tahoma"/>
          <w:sz w:val="16"/>
          <w:lang w:val="fr-FR"/>
        </w:rPr>
        <w:t xml:space="preserve"> le mandataire à demander au syndic en son nom et à ses frais, communication et copie des documents devant être présentés ou fournis à l'acquéreur, notamment le règlement de copropriété, le carnet d'entretien de l'</w:t>
      </w:r>
      <w:r>
        <w:rPr>
          <w:rFonts w:ascii="Lato" w:hAnsi="Lato" w:eastAsia="Tahoma"/>
          <w:sz w:val="16"/>
          <w:lang w:val="fr-FR"/>
        </w:rPr>
        <w:t xml:space="preserve">immeuble,le</w:t>
      </w:r>
      <w:r>
        <w:rPr>
          <w:rFonts w:ascii="Lato" w:hAnsi="Lato" w:eastAsia="Tahoma"/>
          <w:sz w:val="16"/>
          <w:lang w:val="fr-FR"/>
        </w:rPr>
        <w:t xml:space="preserve"> plan pluriannuel de travaux , le diagnostic </w:t>
      </w:r>
      <w:r>
        <w:rPr>
          <w:rFonts w:ascii="Lato" w:hAnsi="Lato" w:eastAsia="Tahoma"/>
          <w:sz w:val="16"/>
          <w:lang w:val="fr-FR"/>
        </w:rPr>
        <w:t xml:space="preserve">technique,les</w:t>
      </w:r>
      <w:r>
        <w:rPr>
          <w:rFonts w:ascii="Lato" w:hAnsi="Lato" w:eastAsia="Tahoma"/>
          <w:sz w:val="16"/>
          <w:lang w:val="fr-FR"/>
        </w:rPr>
        <w:t xml:space="preserve"> diagnost</w:t>
      </w:r>
      <w:r>
        <w:rPr>
          <w:rFonts w:ascii="Lato" w:hAnsi="Lato" w:eastAsia="Tahoma"/>
          <w:sz w:val="16"/>
          <w:lang w:val="fr-FR"/>
        </w:rPr>
        <w:t xml:space="preserve">ics amiante, plomb, et termites concernant les parties communes, et l'état prévus par l'article 721-2 du CCH (cette autorisation ne concerne que les documents non déjà fournis; les documents ainsi obtenus sont réputés la propriété du mandant et lui seront </w:t>
      </w:r>
      <w:r>
        <w:rPr>
          <w:rFonts w:ascii="Lato" w:hAnsi="Lato" w:eastAsia="Tahoma"/>
          <w:sz w:val="16"/>
          <w:lang w:val="fr-FR"/>
        </w:rPr>
        <w:t xml:space="preserve">restiués</w:t>
      </w:r>
      <w:r>
        <w:rPr>
          <w:rFonts w:ascii="Lato" w:hAnsi="Lato" w:eastAsia="Tahoma"/>
          <w:sz w:val="16"/>
          <w:lang w:val="fr-FR"/>
        </w:rPr>
        <w:t xml:space="preserve"> en fin de </w:t>
      </w:r>
      <w:r>
        <w:rPr>
          <w:rFonts w:ascii="Lato" w:hAnsi="Lato" w:eastAsia="Tahoma"/>
          <w:sz w:val="16"/>
          <w:lang w:val="fr-FR"/>
        </w:rPr>
        <w:t xml:space="preserve">misssion</w:t>
      </w:r>
      <w:r>
        <w:rPr>
          <w:rFonts w:ascii="Lato" w:hAnsi="Lato" w:eastAsia="Tahoma"/>
          <w:sz w:val="16"/>
          <w:lang w:val="fr-FR"/>
        </w:rPr>
        <w:t xml:space="preserv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 à examiner toutes les offres reçues par votre intermédiaire. En cas de </w:t>
      </w:r>
      <w:r>
        <w:rPr>
          <w:rFonts w:ascii="Lato" w:hAnsi="Lato" w:eastAsia="Tahoma"/>
          <w:sz w:val="16"/>
          <w:lang w:val="fr-FR"/>
        </w:rPr>
        <w:t xml:space="preserve">présentation  ratifier</w:t>
      </w:r>
      <w:r>
        <w:rPr>
          <w:rFonts w:ascii="Lato" w:hAnsi="Lato" w:eastAsia="Tahoma"/>
          <w:sz w:val="16"/>
          <w:lang w:val="fr-FR"/>
        </w:rPr>
        <w:t xml:space="preserve"> la vente à tout acquéreur que vous nous présenterez en acceptant les prix et conditions des présentes, et à libérer les lieux pour le jour de l'acte authentique.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En cas de </w:t>
      </w:r>
      <w:r>
        <w:rPr>
          <w:rFonts w:ascii="Lato" w:hAnsi="Lato" w:eastAsia="Tahoma"/>
          <w:sz w:val="16"/>
          <w:lang w:val="fr-FR"/>
        </w:rPr>
        <w:t xml:space="preserve">vente,pendant</w:t>
      </w:r>
      <w:r>
        <w:rPr>
          <w:rFonts w:ascii="Lato" w:hAnsi="Lato" w:eastAsia="Tahoma"/>
          <w:sz w:val="16"/>
          <w:lang w:val="fr-FR"/>
        </w:rPr>
        <w:t xml:space="preserve"> la durée du présent mandat et 2 ans après son expiration, nous devrons obtenir de notre acquéreur l'assurance écrite que les biens ne lui ont pas été présentées par vous.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vendons après l'expiration de ce m</w:t>
      </w:r>
      <w:r>
        <w:rPr>
          <w:rFonts w:ascii="Lato" w:hAnsi="Lato" w:eastAsia="Tahoma"/>
          <w:sz w:val="16"/>
          <w:lang w:val="fr-FR"/>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VENTE SANS LE CONCOURS DE L'AGENCE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w:t>
      </w:r>
      <w:r>
        <w:rPr>
          <w:rFonts w:ascii="Lato" w:hAnsi="Lato" w:eastAsia="Tahoma"/>
          <w:sz w:val="16"/>
          <w:lang w:val="fr-FR"/>
        </w:rPr>
        <w:t xml:space="preserve">concours,  nous</w:t>
      </w:r>
      <w:r>
        <w:rPr>
          <w:rFonts w:ascii="Lato" w:hAnsi="Lato" w:eastAsia="Tahoma"/>
          <w:sz w:val="16"/>
          <w:lang w:val="fr-FR"/>
        </w:rPr>
        <w:t xml:space="preserve">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sz w:val="16"/>
          <w:u w:val="single"/>
          <w:lang w:val="fr-FR"/>
        </w:rPr>
        <w:t xml:space="preserve">CLAUSE PENALE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w:t>
      </w:r>
      <w:r>
        <w:rPr>
          <w:rFonts w:ascii="Lato" w:hAnsi="Lato" w:eastAsia="Tahoma"/>
          <w:sz w:val="16"/>
          <w:lang w:val="fr-FR"/>
        </w:rPr>
        <w:t xml:space="preserve">non respect</w:t>
      </w:r>
      <w:r>
        <w:rPr>
          <w:rFonts w:ascii="Lato" w:hAnsi="Lato" w:eastAsia="Tahoma"/>
          <w:sz w:val="16"/>
          <w:lang w:val="fr-FR"/>
        </w:rPr>
        <w:t xml:space="preserve"> de la clause ci-dessus, le mandant versera une indemnité compensatrice forfaitaire correspondant à la moitié de la rémunération convenue. Par ailleurs, en cas de</w:t>
      </w:r>
      <w:r>
        <w:rPr>
          <w:rFonts w:ascii="Lato" w:hAnsi="Lato" w:eastAsia="Tahoma"/>
          <w:sz w:val="16"/>
          <w:lang w:val="fr-FR"/>
        </w:rPr>
        <w:t xml:space="preserve"> vente à un acquéreur ayant eu connaissance de la vente du bien par l'intermédiaire de l'agence, ou de refus de vendre à un acquéreur qui aurait été présenté par l'agence, ou en cas d'infraction à une clause de préférence définie à l'article 11 du présent </w:t>
      </w:r>
      <w:r>
        <w:rPr>
          <w:rFonts w:ascii="Lato" w:hAnsi="Lato" w:eastAsia="Tahoma"/>
          <w:sz w:val="16"/>
          <w:lang w:val="fr-FR"/>
        </w:rPr>
        <w:t xml:space="preserve">mandat,le</w:t>
      </w:r>
      <w:r>
        <w:rPr>
          <w:rFonts w:ascii="Lato" w:hAnsi="Lato" w:eastAsia="Tahoma"/>
          <w:sz w:val="16"/>
          <w:lang w:val="fr-FR"/>
        </w:rPr>
        <w:t xml:space="preserve"> mandant versera une indemnité compensatrice forfaitaire égale à la rémunération prévue au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lang w:val="fr-FR"/>
        </w:rPr>
        <w:t xml:space="preserve">Article 78 du décret du 20 Juillet 1972 : Passé u</w:t>
      </w:r>
      <w:r>
        <w:rPr>
          <w:rFonts w:ascii="Lato" w:hAnsi="Lato" w:eastAsia="Tahoma"/>
          <w:sz w:val="16"/>
          <w:lang w:val="fr-FR"/>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INFORMATIQUE, LIBERTE, RGPD</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w:t>
      </w:r>
      <w:r>
        <w:rPr>
          <w:rFonts w:ascii="Lato" w:hAnsi="Lato" w:eastAsia="Tahoma"/>
          <w:sz w:val="16"/>
          <w:lang w:val="fr-FR"/>
        </w:rPr>
        <w:t xml:space="preserve">( nom</w:t>
      </w:r>
      <w:r>
        <w:rPr>
          <w:rFonts w:ascii="Lato" w:hAnsi="Lato" w:eastAsia="Tahoma"/>
          <w:sz w:val="16"/>
          <w:lang w:val="fr-FR"/>
        </w:rPr>
        <w:t xml:space="preserve">, adresse, email et postale)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reconnaît avoir pris connaissance et accepter la dite politique.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09"/>
        <w:rPr>
          <w:rFonts w:ascii="Lato" w:hAnsi="Lato" w:eastAsia="Tahoma"/>
          <w:sz w:val="16"/>
          <w:lang w:val="fr-FR"/>
        </w:rPr>
      </w:pPr>
      <w:r>
        <w:rPr>
          <w:rFonts w:ascii="Lato" w:hAnsi="Lato" w:eastAsia="Tahoma"/>
          <w:sz w:val="16"/>
          <w:lang w:val="fr-FR"/>
        </w:rPr>
      </w:r>
      <w:r/>
    </w:p>
    <w:p>
      <w:pPr>
        <w:pStyle w:val="709"/>
        <w:rPr>
          <w:rFonts w:ascii="Lato" w:hAnsi="Lato" w:eastAsia="Tahoma"/>
          <w:sz w:val="16"/>
          <w:lang w:val="fr-FR"/>
        </w:rPr>
      </w:pPr>
      <w:r>
        <w:rPr>
          <w:rFonts w:ascii="Lato" w:hAnsi="Lato" w:eastAsia="Tahoma"/>
          <w:sz w:val="16"/>
          <w:lang w:val="fr-FR"/>
        </w:rPr>
      </w:r>
      <w:r/>
    </w:p>
    <w:p>
      <w:pPr>
        <w:pStyle w:val="709"/>
        <w:rPr>
          <w:rFonts w:ascii="Lato" w:hAnsi="Lato" w:eastAsia="Tahoma"/>
          <w:sz w:val="16"/>
        </w:rPr>
      </w:pPr>
      <w:r>
        <w:rPr>
          <w:rFonts w:ascii="Lato" w:hAnsi="Lato" w:eastAsia="Tahoma"/>
          <w:sz w:val="16"/>
        </w:rPr>
        <w:t xml:space="preserve">Informations</w:t>
      </w:r>
      <w:r>
        <w:rPr>
          <w:rFonts w:ascii="Lato" w:hAnsi="Lato" w:eastAsia="Tahoma"/>
          <w:sz w:val="16"/>
        </w:rPr>
        <w:t xml:space="preserve"> </w:t>
      </w:r>
      <w:r>
        <w:rPr>
          <w:rFonts w:ascii="Lato" w:hAnsi="Lato" w:eastAsia="Tahoma"/>
          <w:sz w:val="16"/>
        </w:rPr>
        <w:t xml:space="preserve">communiquées</w:t>
      </w:r>
      <w:r>
        <w:rPr>
          <w:rFonts w:ascii="Lato" w:hAnsi="Lato" w:eastAsia="Tahoma"/>
          <w:sz w:val="16"/>
        </w:rPr>
        <w:t xml:space="preserve"> </w:t>
      </w:r>
      <w:r>
        <w:rPr>
          <w:rFonts w:ascii="Lato" w:hAnsi="Lato" w:eastAsia="Tahoma"/>
          <w:sz w:val="16"/>
        </w:rPr>
        <w:t xml:space="preserve">le :</w:t>
      </w:r>
      <w:r>
        <w:rPr>
          <w:rFonts w:ascii="Lato" w:hAnsi="Lato" w:eastAsia="Tahoma"/>
          <w:sz w:val="16"/>
        </w:rPr>
        <w:t xml:space="preserve"> ........25 octobre 2024</w:t>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p>
    <w:sectPr>
      <w:footerReference w:type="default" r:id="rId9"/>
      <w:footnotePr/>
      <w:endnotePr/>
      <w:type w:val="nextPage"/>
      <w:pgSz w:w="11903" w:h="16837" w:orient="portrait"/>
      <w:pgMar w:top="284" w:right="567" w:bottom="284" w:left="68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panose1 w:val="020F0502020204030203"/>
  </w:font>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1"/>
      <w:jc w:val="right"/>
      <w:rPr>
        <w:rFonts w:ascii="Lato" w:hAnsi="Lato"/>
      </w:rPr>
    </w:pPr>
    <w:r>
      <w:rPr>
        <w:rFonts w:ascii="Lato" w:hAnsi="Lato"/>
      </w:rPr>
    </w:r>
    <w:r/>
  </w:p>
  <w:p>
    <w:pPr>
      <w:pStyle w:val="709"/>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715"/>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706"/>
    <w:link w:val="702"/>
    <w:uiPriority w:val="9"/>
    <w:rPr>
      <w:rFonts w:ascii="Arial" w:hAnsi="Arial" w:eastAsia="Arial" w:cs="Arial"/>
      <w:sz w:val="40"/>
      <w:szCs w:val="40"/>
    </w:rPr>
  </w:style>
  <w:style w:type="paragraph" w:styleId="14">
    <w:name w:val="Heading 2"/>
    <w:basedOn w:val="701"/>
    <w:next w:val="701"/>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706"/>
    <w:link w:val="14"/>
    <w:uiPriority w:val="9"/>
    <w:rPr>
      <w:rFonts w:ascii="Arial" w:hAnsi="Arial" w:eastAsia="Arial" w:cs="Arial"/>
      <w:sz w:val="34"/>
    </w:rPr>
  </w:style>
  <w:style w:type="character" w:styleId="17">
    <w:name w:val="Heading 3 Char"/>
    <w:basedOn w:val="706"/>
    <w:link w:val="703"/>
    <w:uiPriority w:val="9"/>
    <w:rPr>
      <w:rFonts w:ascii="Arial" w:hAnsi="Arial" w:eastAsia="Arial" w:cs="Arial"/>
      <w:sz w:val="30"/>
      <w:szCs w:val="30"/>
    </w:rPr>
  </w:style>
  <w:style w:type="paragraph" w:styleId="18">
    <w:name w:val="Heading 4"/>
    <w:basedOn w:val="701"/>
    <w:next w:val="701"/>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706"/>
    <w:link w:val="18"/>
    <w:uiPriority w:val="9"/>
    <w:rPr>
      <w:rFonts w:ascii="Arial" w:hAnsi="Arial" w:eastAsia="Arial" w:cs="Arial"/>
      <w:b/>
      <w:bCs/>
      <w:sz w:val="26"/>
      <w:szCs w:val="26"/>
    </w:rPr>
  </w:style>
  <w:style w:type="character" w:styleId="21">
    <w:name w:val="Heading 5 Char"/>
    <w:basedOn w:val="706"/>
    <w:link w:val="704"/>
    <w:uiPriority w:val="9"/>
    <w:rPr>
      <w:rFonts w:ascii="Arial" w:hAnsi="Arial" w:eastAsia="Arial" w:cs="Arial"/>
      <w:b/>
      <w:bCs/>
      <w:sz w:val="24"/>
      <w:szCs w:val="24"/>
    </w:rPr>
  </w:style>
  <w:style w:type="character" w:styleId="23">
    <w:name w:val="Heading 6 Char"/>
    <w:basedOn w:val="706"/>
    <w:link w:val="705"/>
    <w:uiPriority w:val="9"/>
    <w:rPr>
      <w:rFonts w:ascii="Arial" w:hAnsi="Arial" w:eastAsia="Arial" w:cs="Arial"/>
      <w:b/>
      <w:bCs/>
      <w:sz w:val="22"/>
      <w:szCs w:val="22"/>
    </w:rPr>
  </w:style>
  <w:style w:type="paragraph" w:styleId="24">
    <w:name w:val="Heading 7"/>
    <w:basedOn w:val="701"/>
    <w:next w:val="701"/>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06"/>
    <w:link w:val="24"/>
    <w:uiPriority w:val="9"/>
    <w:rPr>
      <w:rFonts w:ascii="Arial" w:hAnsi="Arial" w:eastAsia="Arial" w:cs="Arial"/>
      <w:b/>
      <w:bCs/>
      <w:i/>
      <w:iCs/>
      <w:sz w:val="22"/>
      <w:szCs w:val="22"/>
    </w:rPr>
  </w:style>
  <w:style w:type="paragraph" w:styleId="26">
    <w:name w:val="Heading 8"/>
    <w:basedOn w:val="701"/>
    <w:next w:val="701"/>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06"/>
    <w:link w:val="26"/>
    <w:uiPriority w:val="9"/>
    <w:rPr>
      <w:rFonts w:ascii="Arial" w:hAnsi="Arial" w:eastAsia="Arial" w:cs="Arial"/>
      <w:i/>
      <w:iCs/>
      <w:sz w:val="22"/>
      <w:szCs w:val="22"/>
    </w:rPr>
  </w:style>
  <w:style w:type="paragraph" w:styleId="28">
    <w:name w:val="Heading 9"/>
    <w:basedOn w:val="701"/>
    <w:next w:val="701"/>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06"/>
    <w:link w:val="28"/>
    <w:uiPriority w:val="9"/>
    <w:rPr>
      <w:rFonts w:ascii="Arial" w:hAnsi="Arial" w:eastAsia="Arial" w:cs="Arial"/>
      <w:i/>
      <w:iCs/>
      <w:sz w:val="21"/>
      <w:szCs w:val="21"/>
    </w:rPr>
  </w:style>
  <w:style w:type="paragraph" w:styleId="30">
    <w:name w:val="List Paragraph"/>
    <w:basedOn w:val="701"/>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701"/>
    <w:next w:val="701"/>
    <w:link w:val="34"/>
    <w:uiPriority w:val="10"/>
    <w:qFormat/>
    <w:pPr>
      <w:contextualSpacing/>
      <w:spacing w:before="300" w:after="200"/>
    </w:pPr>
    <w:rPr>
      <w:sz w:val="48"/>
      <w:szCs w:val="48"/>
    </w:rPr>
  </w:style>
  <w:style w:type="character" w:styleId="34">
    <w:name w:val="Title Char"/>
    <w:basedOn w:val="706"/>
    <w:link w:val="33"/>
    <w:uiPriority w:val="10"/>
    <w:rPr>
      <w:sz w:val="48"/>
      <w:szCs w:val="48"/>
    </w:rPr>
  </w:style>
  <w:style w:type="paragraph" w:styleId="35">
    <w:name w:val="Subtitle"/>
    <w:basedOn w:val="701"/>
    <w:next w:val="701"/>
    <w:link w:val="36"/>
    <w:uiPriority w:val="11"/>
    <w:qFormat/>
    <w:pPr>
      <w:spacing w:before="200" w:after="200"/>
    </w:pPr>
    <w:rPr>
      <w:sz w:val="24"/>
      <w:szCs w:val="24"/>
    </w:rPr>
  </w:style>
  <w:style w:type="character" w:styleId="36">
    <w:name w:val="Subtitle Char"/>
    <w:basedOn w:val="706"/>
    <w:link w:val="35"/>
    <w:uiPriority w:val="11"/>
    <w:rPr>
      <w:sz w:val="24"/>
      <w:szCs w:val="24"/>
    </w:rPr>
  </w:style>
  <w:style w:type="paragraph" w:styleId="37">
    <w:name w:val="Quote"/>
    <w:basedOn w:val="701"/>
    <w:next w:val="701"/>
    <w:link w:val="38"/>
    <w:uiPriority w:val="29"/>
    <w:qFormat/>
    <w:pPr>
      <w:ind w:left="720" w:right="720"/>
    </w:pPr>
    <w:rPr>
      <w:i/>
    </w:rPr>
  </w:style>
  <w:style w:type="character" w:styleId="38">
    <w:name w:val="Quote Char"/>
    <w:link w:val="37"/>
    <w:uiPriority w:val="29"/>
    <w:rPr>
      <w:i/>
    </w:rPr>
  </w:style>
  <w:style w:type="paragraph" w:styleId="39">
    <w:name w:val="Intense Quote"/>
    <w:basedOn w:val="701"/>
    <w:next w:val="701"/>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706"/>
    <w:link w:val="719"/>
    <w:uiPriority w:val="99"/>
  </w:style>
  <w:style w:type="character" w:styleId="44">
    <w:name w:val="Footer Char"/>
    <w:basedOn w:val="706"/>
    <w:link w:val="721"/>
    <w:uiPriority w:val="99"/>
  </w:style>
  <w:style w:type="paragraph" w:styleId="45">
    <w:name w:val="Caption"/>
    <w:basedOn w:val="701"/>
    <w:next w:val="701"/>
    <w:uiPriority w:val="35"/>
    <w:semiHidden/>
    <w:unhideWhenUsed/>
    <w:qFormat/>
    <w:pPr>
      <w:spacing w:line="276" w:lineRule="auto"/>
    </w:pPr>
    <w:rPr>
      <w:b/>
      <w:bCs/>
      <w:color w:val="4f81bd" w:themeColor="accent1"/>
      <w:sz w:val="18"/>
      <w:szCs w:val="18"/>
    </w:rPr>
  </w:style>
  <w:style w:type="character" w:styleId="46">
    <w:name w:val="Caption Char"/>
    <w:basedOn w:val="45"/>
    <w:link w:val="721"/>
    <w:uiPriority w:val="99"/>
  </w:style>
  <w:style w:type="table" w:styleId="47">
    <w:name w:val="Table Grid"/>
    <w:basedOn w:val="707"/>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70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0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0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0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0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0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0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0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0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0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0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0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0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0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0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0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0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0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0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0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0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0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0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0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0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0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0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0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0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0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0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0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0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0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0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0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0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0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70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0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0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0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0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0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0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0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07"/>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07"/>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07"/>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07"/>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07"/>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07"/>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0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0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0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0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0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0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0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0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0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70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0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0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0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70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0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0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70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0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0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0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70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0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0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0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0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0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0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0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0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0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70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0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0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0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70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0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0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70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0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0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0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70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0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0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70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0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0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0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70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0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0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0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0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0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0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0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701"/>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06"/>
    <w:uiPriority w:val="99"/>
    <w:unhideWhenUsed/>
    <w:rPr>
      <w:vertAlign w:val="superscript"/>
    </w:rPr>
  </w:style>
  <w:style w:type="paragraph" w:styleId="177">
    <w:name w:val="endnote text"/>
    <w:basedOn w:val="701"/>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06"/>
    <w:uiPriority w:val="99"/>
    <w:semiHidden/>
    <w:unhideWhenUsed/>
    <w:rPr>
      <w:vertAlign w:val="superscript"/>
    </w:rPr>
  </w:style>
  <w:style w:type="paragraph" w:styleId="180">
    <w:name w:val="toc 1"/>
    <w:basedOn w:val="701"/>
    <w:next w:val="701"/>
    <w:uiPriority w:val="39"/>
    <w:unhideWhenUsed/>
    <w:pPr>
      <w:ind w:left="0" w:right="0" w:firstLine="0"/>
      <w:spacing w:after="57"/>
    </w:pPr>
  </w:style>
  <w:style w:type="paragraph" w:styleId="181">
    <w:name w:val="toc 2"/>
    <w:basedOn w:val="701"/>
    <w:next w:val="701"/>
    <w:uiPriority w:val="39"/>
    <w:unhideWhenUsed/>
    <w:pPr>
      <w:ind w:left="283" w:right="0" w:firstLine="0"/>
      <w:spacing w:after="57"/>
    </w:pPr>
  </w:style>
  <w:style w:type="paragraph" w:styleId="182">
    <w:name w:val="toc 3"/>
    <w:basedOn w:val="701"/>
    <w:next w:val="701"/>
    <w:uiPriority w:val="39"/>
    <w:unhideWhenUsed/>
    <w:pPr>
      <w:ind w:left="567" w:right="0" w:firstLine="0"/>
      <w:spacing w:after="57"/>
    </w:pPr>
  </w:style>
  <w:style w:type="paragraph" w:styleId="183">
    <w:name w:val="toc 4"/>
    <w:basedOn w:val="701"/>
    <w:next w:val="701"/>
    <w:uiPriority w:val="39"/>
    <w:unhideWhenUsed/>
    <w:pPr>
      <w:ind w:left="850" w:right="0" w:firstLine="0"/>
      <w:spacing w:after="57"/>
    </w:pPr>
  </w:style>
  <w:style w:type="paragraph" w:styleId="184">
    <w:name w:val="toc 5"/>
    <w:basedOn w:val="701"/>
    <w:next w:val="701"/>
    <w:uiPriority w:val="39"/>
    <w:unhideWhenUsed/>
    <w:pPr>
      <w:ind w:left="1134" w:right="0" w:firstLine="0"/>
      <w:spacing w:after="57"/>
    </w:pPr>
  </w:style>
  <w:style w:type="paragraph" w:styleId="185">
    <w:name w:val="toc 6"/>
    <w:basedOn w:val="701"/>
    <w:next w:val="701"/>
    <w:uiPriority w:val="39"/>
    <w:unhideWhenUsed/>
    <w:pPr>
      <w:ind w:left="1417" w:right="0" w:firstLine="0"/>
      <w:spacing w:after="57"/>
    </w:pPr>
  </w:style>
  <w:style w:type="paragraph" w:styleId="186">
    <w:name w:val="toc 7"/>
    <w:basedOn w:val="701"/>
    <w:next w:val="701"/>
    <w:uiPriority w:val="39"/>
    <w:unhideWhenUsed/>
    <w:pPr>
      <w:ind w:left="1701" w:right="0" w:firstLine="0"/>
      <w:spacing w:after="57"/>
    </w:pPr>
  </w:style>
  <w:style w:type="paragraph" w:styleId="187">
    <w:name w:val="toc 8"/>
    <w:basedOn w:val="701"/>
    <w:next w:val="701"/>
    <w:uiPriority w:val="39"/>
    <w:unhideWhenUsed/>
    <w:pPr>
      <w:ind w:left="1984" w:right="0" w:firstLine="0"/>
      <w:spacing w:after="57"/>
    </w:pPr>
  </w:style>
  <w:style w:type="paragraph" w:styleId="188">
    <w:name w:val="toc 9"/>
    <w:basedOn w:val="701"/>
    <w:next w:val="701"/>
    <w:uiPriority w:val="39"/>
    <w:unhideWhenUsed/>
    <w:pPr>
      <w:ind w:left="2268" w:right="0" w:firstLine="0"/>
      <w:spacing w:after="57"/>
    </w:pPr>
  </w:style>
  <w:style w:type="paragraph" w:styleId="189">
    <w:name w:val="TOC Heading"/>
    <w:uiPriority w:val="39"/>
    <w:unhideWhenUsed/>
  </w:style>
  <w:style w:type="paragraph" w:styleId="190">
    <w:name w:val="table of figures"/>
    <w:basedOn w:val="701"/>
    <w:next w:val="701"/>
    <w:uiPriority w:val="99"/>
    <w:unhideWhenUsed/>
    <w:pPr>
      <w:spacing w:after="0" w:afterAutospacing="0"/>
    </w:pPr>
  </w:style>
  <w:style w:type="paragraph" w:styleId="701" w:default="1">
    <w:name w:val="Normal"/>
    <w:qFormat/>
    <w:pPr>
      <w:spacing w:after="0" w:line="240" w:lineRule="auto"/>
    </w:pPr>
    <w:rPr>
      <w:rFonts w:hAnsi="Arial" w:eastAsia="Arial"/>
      <w:sz w:val="20"/>
    </w:rPr>
  </w:style>
  <w:style w:type="paragraph" w:styleId="702">
    <w:name w:val="Heading 1"/>
    <w:basedOn w:val="701"/>
    <w:next w:val="701"/>
    <w:qFormat/>
    <w:pPr>
      <w:keepNext/>
      <w:outlineLvl w:val="0"/>
    </w:pPr>
    <w:rPr>
      <w:rFonts w:ascii="Times New Roman" w:hAnsi="Times New Roman" w:eastAsia="Times New Roman"/>
      <w:sz w:val="36"/>
    </w:rPr>
  </w:style>
  <w:style w:type="paragraph" w:styleId="703">
    <w:name w:val="Heading 3"/>
    <w:basedOn w:val="701"/>
    <w:next w:val="701"/>
    <w:qFormat/>
    <w:pPr>
      <w:keepNext/>
      <w:outlineLvl w:val="2"/>
    </w:pPr>
    <w:rPr>
      <w:rFonts w:ascii="Gill Sans MT Condensed" w:hAnsi="Gill Sans MT Condensed" w:eastAsia="Gill Sans MT Condensed"/>
      <w:b/>
      <w:sz w:val="24"/>
    </w:rPr>
  </w:style>
  <w:style w:type="paragraph" w:styleId="704">
    <w:name w:val="Heading 5"/>
    <w:basedOn w:val="701"/>
    <w:next w:val="701"/>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705">
    <w:name w:val="Heading 6"/>
    <w:basedOn w:val="701"/>
    <w:next w:val="701"/>
    <w:qFormat/>
    <w:pPr>
      <w:jc w:val="center"/>
      <w:keepNext/>
      <w:outlineLvl w:val="5"/>
    </w:pPr>
    <w:rPr>
      <w:rFonts w:ascii="Times New Roman" w:hAnsi="Times New Roman" w:eastAsia="Times New Roman"/>
      <w:b/>
      <w:color w:val="333399"/>
      <w:sz w:val="24"/>
    </w:rPr>
  </w:style>
  <w:style w:type="character" w:styleId="706" w:default="1">
    <w:name w:val="Default Paragraph Font"/>
    <w:uiPriority w:val="1"/>
    <w:semiHidden/>
    <w:unhideWhenUsed/>
  </w:style>
  <w:style w:type="table" w:styleId="707" w:default="1">
    <w:name w:val="Normal Table"/>
    <w:uiPriority w:val="99"/>
    <w:semiHidden/>
    <w:unhideWhenUsed/>
    <w:tblPr>
      <w:tblInd w:w="0" w:type="dxa"/>
      <w:tblCellMar>
        <w:left w:w="108" w:type="dxa"/>
        <w:top w:w="0" w:type="dxa"/>
        <w:right w:w="108" w:type="dxa"/>
        <w:bottom w:w="0" w:type="dxa"/>
      </w:tblCellMar>
    </w:tblPr>
  </w:style>
  <w:style w:type="numbering" w:styleId="708" w:default="1">
    <w:name w:val="No List"/>
    <w:uiPriority w:val="99"/>
    <w:semiHidden/>
    <w:unhideWhenUsed/>
  </w:style>
  <w:style w:type="paragraph" w:styleId="709"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710">
    <w:name w:val="Body Text 2"/>
    <w:basedOn w:val="701"/>
    <w:qFormat/>
    <w:pPr>
      <w:jc w:val="center"/>
    </w:pPr>
    <w:rPr>
      <w:rFonts w:ascii="Gill Sans MT Condensed" w:hAnsi="Gill Sans MT Condensed" w:eastAsia="Gill Sans MT Condensed"/>
      <w:b/>
      <w:sz w:val="72"/>
    </w:rPr>
  </w:style>
  <w:style w:type="paragraph" w:styleId="711">
    <w:name w:val="Body Text"/>
    <w:basedOn w:val="701"/>
    <w:qFormat/>
    <w:pPr>
      <w:jc w:val="both"/>
    </w:pPr>
    <w:rPr>
      <w:rFonts w:ascii="Gill Sans MT Condensed" w:hAnsi="Gill Sans MT Condensed" w:eastAsia="Gill Sans MT Condensed"/>
      <w:sz w:val="24"/>
    </w:rPr>
  </w:style>
  <w:style w:type="paragraph" w:styleId="712" w:customStyle="1">
    <w:name w:val="Titre arial 14 pts gras"/>
    <w:basedOn w:val="701"/>
    <w:qFormat/>
    <w:rPr>
      <w:b/>
      <w:sz w:val="28"/>
    </w:rPr>
  </w:style>
  <w:style w:type="paragraph" w:styleId="713" w:customStyle="1">
    <w:name w:val="Détail"/>
    <w:basedOn w:val="701"/>
    <w:qFormat/>
  </w:style>
  <w:style w:type="paragraph" w:styleId="714" w:customStyle="1">
    <w:name w:val="Type de détail"/>
    <w:basedOn w:val="701"/>
    <w:next w:val="713"/>
    <w:qFormat/>
    <w:rPr>
      <w:b/>
      <w:u w:val="single"/>
    </w:rPr>
  </w:style>
  <w:style w:type="paragraph" w:styleId="715" w:customStyle="1">
    <w:name w:val="Enumeration arial 10 pts"/>
    <w:basedOn w:val="701"/>
    <w:qFormat/>
    <w:pPr>
      <w:numPr>
        <w:numId w:val="1"/>
      </w:numPr>
    </w:pPr>
  </w:style>
  <w:style w:type="paragraph" w:styleId="716" w:customStyle="1">
    <w:name w:val="align droite 2cm"/>
    <w:basedOn w:val="701"/>
    <w:qFormat/>
  </w:style>
  <w:style w:type="paragraph" w:styleId="717" w:customStyle="1">
    <w:name w:val="Adresse"/>
    <w:basedOn w:val="701"/>
    <w:qFormat/>
    <w:pPr>
      <w:ind w:left="5103"/>
    </w:pPr>
  </w:style>
  <w:style w:type="paragraph" w:styleId="718" w:customStyle="1">
    <w:name w:val="BODY"/>
    <w:basedOn w:val="709"/>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paragraph" w:styleId="719">
    <w:name w:val="Header"/>
    <w:basedOn w:val="701"/>
    <w:link w:val="720"/>
    <w:pPr>
      <w:tabs>
        <w:tab w:val="center" w:pos="4536" w:leader="none"/>
        <w:tab w:val="right" w:pos="9072" w:leader="none"/>
      </w:tabs>
    </w:pPr>
  </w:style>
  <w:style w:type="character" w:styleId="720" w:customStyle="1">
    <w:name w:val="En-tête Car"/>
    <w:basedOn w:val="706"/>
    <w:link w:val="719"/>
    <w:rPr>
      <w:rFonts w:hAnsi="Arial" w:eastAsia="Arial"/>
      <w:sz w:val="20"/>
    </w:rPr>
  </w:style>
  <w:style w:type="paragraph" w:styleId="721">
    <w:name w:val="Footer"/>
    <w:basedOn w:val="701"/>
    <w:link w:val="722"/>
    <w:uiPriority w:val="99"/>
    <w:pPr>
      <w:tabs>
        <w:tab w:val="center" w:pos="4536" w:leader="none"/>
        <w:tab w:val="right" w:pos="9072" w:leader="none"/>
      </w:tabs>
    </w:pPr>
  </w:style>
  <w:style w:type="character" w:styleId="722" w:customStyle="1">
    <w:name w:val="Pied de page Car"/>
    <w:basedOn w:val="706"/>
    <w:link w:val="721"/>
    <w:uiPriority w:val="99"/>
    <w:rPr>
      <w:rFonts w:hAnsi="Arial" w:eastAsia="Arial"/>
      <w:sz w:val="20"/>
    </w:rPr>
  </w:style>
  <w:style w:type="character" w:styleId="723">
    <w:name w:val="Default Paragraph Font PHPDOCX"/>
    <w:uiPriority w:val="1"/>
    <w:semiHidden/>
    <w:unhideWhenUsed/>
  </w:style>
  <w:style w:type="paragraph" w:styleId="724">
    <w:name w:val="List Paragraph PHPDOCX"/>
    <w:basedOn w:val="701"/>
    <w:uiPriority w:val="34"/>
    <w:qFormat/>
    <w:pPr>
      <w:contextualSpacing/>
      <w:ind w:left="720"/>
    </w:pPr>
  </w:style>
  <w:style w:type="paragraph" w:styleId="725">
    <w:name w:val="Title PHPDOCX"/>
    <w:basedOn w:val="701"/>
    <w:next w:val="701"/>
    <w:link w:val="726"/>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726" w:customStyle="1">
    <w:name w:val="Title Car PHPDOCX"/>
    <w:basedOn w:val="723"/>
    <w:link w:val="725"/>
    <w:uiPriority w:val="10"/>
    <w:rPr>
      <w:rFonts w:asciiTheme="majorHAnsi" w:hAnsiTheme="majorHAnsi" w:eastAsiaTheme="majorEastAsia" w:cstheme="majorBidi"/>
      <w:color w:val="17365d" w:themeColor="text2" w:themeShade="BF"/>
      <w:spacing w:val="5"/>
      <w:sz w:val="52"/>
      <w:szCs w:val="52"/>
    </w:rPr>
  </w:style>
  <w:style w:type="paragraph" w:styleId="727">
    <w:name w:val="Subtitle PHPDOCX"/>
    <w:basedOn w:val="701"/>
    <w:next w:val="701"/>
    <w:link w:val="728"/>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728" w:customStyle="1">
    <w:name w:val="Subtitle Car PHPDOCX"/>
    <w:basedOn w:val="723"/>
    <w:link w:val="727"/>
    <w:uiPriority w:val="11"/>
    <w:rPr>
      <w:rFonts w:asciiTheme="majorHAnsi" w:hAnsiTheme="majorHAnsi" w:eastAsiaTheme="majorEastAsia" w:cstheme="majorBidi"/>
      <w:i/>
      <w:iCs/>
      <w:color w:val="4f81bd" w:themeColor="accent1"/>
      <w:spacing w:val="15"/>
      <w:sz w:val="24"/>
      <w:szCs w:val="24"/>
    </w:rPr>
  </w:style>
  <w:style w:type="table" w:styleId="729">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730">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731">
    <w:name w:val="annotation reference PHPDOCX"/>
    <w:basedOn w:val="723"/>
    <w:uiPriority w:val="99"/>
    <w:semiHidden/>
    <w:unhideWhenUsed/>
    <w:rPr>
      <w:sz w:val="16"/>
      <w:szCs w:val="16"/>
    </w:rPr>
  </w:style>
  <w:style w:type="paragraph" w:styleId="732">
    <w:name w:val="annotation text PHPDOCX"/>
    <w:basedOn w:val="701"/>
    <w:link w:val="733"/>
    <w:uiPriority w:val="99"/>
    <w:semiHidden/>
    <w:unhideWhenUsed/>
    <w:pPr>
      <w:spacing w:line="240" w:lineRule="auto"/>
    </w:pPr>
    <w:rPr>
      <w:sz w:val="20"/>
      <w:szCs w:val="20"/>
    </w:rPr>
  </w:style>
  <w:style w:type="character" w:styleId="733" w:customStyle="1">
    <w:name w:val="Comment Text Char PHPDOCX"/>
    <w:basedOn w:val="723"/>
    <w:link w:val="732"/>
    <w:uiPriority w:val="99"/>
    <w:semiHidden/>
    <w:rPr>
      <w:sz w:val="20"/>
      <w:szCs w:val="20"/>
    </w:rPr>
  </w:style>
  <w:style w:type="paragraph" w:styleId="734">
    <w:name w:val="annotation subject PHPDOCX"/>
    <w:basedOn w:val="732"/>
    <w:next w:val="732"/>
    <w:link w:val="735"/>
    <w:uiPriority w:val="99"/>
    <w:semiHidden/>
    <w:unhideWhenUsed/>
    <w:rPr>
      <w:b/>
      <w:bCs/>
    </w:rPr>
  </w:style>
  <w:style w:type="character" w:styleId="735" w:customStyle="1">
    <w:name w:val="Comment Subject Char PHPDOCX"/>
    <w:basedOn w:val="733"/>
    <w:link w:val="734"/>
    <w:uiPriority w:val="99"/>
    <w:semiHidden/>
    <w:rPr>
      <w:b/>
      <w:bCs/>
      <w:sz w:val="20"/>
      <w:szCs w:val="20"/>
    </w:rPr>
  </w:style>
  <w:style w:type="paragraph" w:styleId="736">
    <w:name w:val="Balloon Text PHPDOCX"/>
    <w:basedOn w:val="701"/>
    <w:link w:val="737"/>
    <w:uiPriority w:val="99"/>
    <w:semiHidden/>
    <w:unhideWhenUsed/>
    <w:pPr>
      <w:spacing w:after="0" w:line="240" w:lineRule="auto"/>
    </w:pPr>
    <w:rPr>
      <w:rFonts w:ascii="Tahoma" w:hAnsi="Tahoma" w:cs="Tahoma"/>
      <w:sz w:val="16"/>
      <w:szCs w:val="16"/>
    </w:rPr>
  </w:style>
  <w:style w:type="character" w:styleId="737" w:customStyle="1">
    <w:name w:val="Balloon Text Char PHPDOCX"/>
    <w:basedOn w:val="723"/>
    <w:link w:val="736"/>
    <w:uiPriority w:val="99"/>
    <w:semiHidden/>
    <w:rPr>
      <w:rFonts w:ascii="Tahoma" w:hAnsi="Tahoma" w:cs="Tahoma"/>
      <w:sz w:val="16"/>
      <w:szCs w:val="16"/>
    </w:rPr>
  </w:style>
  <w:style w:type="paragraph" w:styleId="738">
    <w:name w:val="footnote Text PHPDOCX"/>
    <w:basedOn w:val="701"/>
    <w:link w:val="739"/>
    <w:uiPriority w:val="99"/>
    <w:semiHidden/>
    <w:unhideWhenUsed/>
    <w:pPr>
      <w:spacing w:after="0" w:line="240" w:lineRule="auto"/>
    </w:pPr>
    <w:rPr>
      <w:sz w:val="20"/>
      <w:szCs w:val="20"/>
    </w:rPr>
  </w:style>
  <w:style w:type="character" w:styleId="739" w:customStyle="1">
    <w:name w:val="footnote Text Car PHPDOCX"/>
    <w:basedOn w:val="723"/>
    <w:link w:val="738"/>
    <w:uiPriority w:val="99"/>
    <w:semiHidden/>
    <w:rPr>
      <w:sz w:val="20"/>
      <w:szCs w:val="20"/>
    </w:rPr>
  </w:style>
  <w:style w:type="character" w:styleId="740">
    <w:name w:val="footnote Reference PHPDOCX"/>
    <w:basedOn w:val="723"/>
    <w:uiPriority w:val="99"/>
    <w:semiHidden/>
    <w:unhideWhenUsed/>
    <w:rPr>
      <w:vertAlign w:val="superscript"/>
    </w:rPr>
  </w:style>
  <w:style w:type="paragraph" w:styleId="741">
    <w:name w:val="endnote Text PHPDOCX"/>
    <w:basedOn w:val="701"/>
    <w:link w:val="742"/>
    <w:uiPriority w:val="99"/>
    <w:semiHidden/>
    <w:unhideWhenUsed/>
    <w:pPr>
      <w:spacing w:after="0" w:line="240" w:lineRule="auto"/>
    </w:pPr>
    <w:rPr>
      <w:sz w:val="20"/>
      <w:szCs w:val="20"/>
    </w:rPr>
  </w:style>
  <w:style w:type="character" w:styleId="742" w:customStyle="1">
    <w:name w:val="endnote Text Car PHPDOCX"/>
    <w:basedOn w:val="723"/>
    <w:link w:val="741"/>
    <w:uiPriority w:val="99"/>
    <w:semiHidden/>
    <w:rPr>
      <w:sz w:val="20"/>
      <w:szCs w:val="20"/>
    </w:rPr>
  </w:style>
  <w:style w:type="character" w:styleId="743">
    <w:name w:val="endnote Reference PHPDOCX"/>
    <w:basedOn w:val="723"/>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jpg"/><Relationship Id="rId11" Type="http://schemas.openxmlformats.org/officeDocument/2006/relationships/image" Target="media/image2.jpg"/><Relationship Id="rId12"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dc:creator>
  <cp:lastModifiedBy>borneka</cp:lastModifiedBy>
  <cp:revision>9</cp:revision>
  <dcterms:created xsi:type="dcterms:W3CDTF">2024-01-03T11:28:00Z</dcterms:created>
  <dcterms:modified xsi:type="dcterms:W3CDTF">2024-10-25T08:31:29Z</dcterms:modified>
</cp:coreProperties>
</file>