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 w:cs="Tahoma"/>
          <w:sz w:val="8"/>
        </w:rPr>
      </w:pPr>
      <w:r>
        <w:rPr>
          <w:rFonts w:ascii="Tahoma" w:hAnsi="Tahoma" w:eastAsia="Tahoma" w:cs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 w:cs="Tahoma"/>
                <w:b/>
                <w:sz w:val="14"/>
              </w:rPr>
            </w:pPr>
            <w:r>
              <w:rPr>
                <w:rFonts w:ascii="Tahoma" w:hAnsi="Tahoma" w:eastAsia="Tahoma" w:cs="Tahoma"/>
              </w:rPr>
              <w:t xml:space="preserve">LVT1340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 w:cs="Tahoma"/>
                <w:b/>
                <w:sz w:val="30"/>
                <w:szCs w:val="30"/>
              </w:rPr>
            </w:pPr>
            <w:r>
              <w:rPr>
                <w:rFonts w:ascii="Tahoma" w:hAnsi="Tahoma" w:eastAsia="Tahoma" w:cs="Tahoma"/>
                <w:b/>
                <w:sz w:val="30"/>
                <w:szCs w:val="30"/>
              </w:rPr>
              <w:t xml:space="preserve">Sur la Commune de Vitrac ensemble en pierre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 w:cs="Tahoma"/>
                <w:b/>
                <w:sz w:val="36"/>
              </w:rPr>
            </w:pPr>
            <w:r>
              <w:rPr>
                <w:rFonts w:ascii="Tahoma" w:hAnsi="Tahoma" w:eastAsia="Tahoma" w:cs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 w:cs="Tahoma"/>
          <w:sz w:val="8"/>
        </w:rPr>
      </w:pPr>
      <w:r>
        <w:rPr>
          <w:rFonts w:ascii="Tahoma" w:hAnsi="Tahoma" w:eastAsia="Tahoma" w:cs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3048000"/>
                      <wp:effectExtent l="0" t="0" r="0" b="0"/>
                      <wp:docPr id="1" name="Picture 1" descr="https://gildc.activimmo.ovh/pic/480x320/lvt246502507p76673e7264d6b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320/lvt246502507p76673e7264d6b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304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60.0pt;height:240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 w:cs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1428750"/>
                      <wp:effectExtent l="0" t="0" r="0" b="0"/>
                      <wp:docPr id="2" name="Picture 1" descr="https://gildc.activimmo.ovh/pic/225x150/lvt246502507p166683a7ad95fd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25x150/lvt246502507p166683a7ad95fd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8.8pt;height:112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 w:cs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 w:cs="Tahoma"/>
                <w:sz w:val="12"/>
              </w:rPr>
            </w:pPr>
            <w:r>
              <w:rPr>
                <w:rFonts w:ascii="Tahoma" w:hAnsi="Tahoma" w:eastAsia="Tahoma" w:cs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1428750"/>
                      <wp:effectExtent l="0" t="0" r="0" b="0"/>
                      <wp:docPr id="3" name="Picture 1" descr="https://gildc.activimmo.ovh/pic/225x150/lvt246502507p206683a7b0a2c7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25x150/lvt246502507p206683a7b0a2c7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1428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68.8pt;height:112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 w:cs="Tahoma"/>
              </w:rPr>
            </w:r>
            <w:r/>
          </w:p>
        </w:tc>
      </w:tr>
    </w:tbl>
    <w:p>
      <w:pPr>
        <w:pStyle w:val="644"/>
        <w:rPr>
          <w:rFonts w:ascii="Tahoma" w:hAnsi="Tahoma" w:eastAsia="Tahoma" w:cs="Tahoma"/>
          <w:sz w:val="8"/>
        </w:rPr>
      </w:pPr>
      <w:r>
        <w:rPr>
          <w:rFonts w:ascii="Tahoma" w:hAnsi="Tahoma" w:eastAsia="Tahoma" w:cs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08100" cy="1193800"/>
                      <wp:effectExtent l="0" t="0" r="0" b="0"/>
                      <wp:docPr id="4" name="Picture 1" descr="https://files.activimmo.com/storage/etiquettes/photo/dpe/dpe-energie-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08100" cy="1193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3.0pt;height:94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 w:cs="Tahoma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318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 w:cs="Tahoma"/>
                <w:b/>
                <w:sz w:val="22"/>
                <w:szCs w:val="22"/>
              </w:rPr>
            </w:pPr>
            <w:r>
              <w:rPr>
                <w:rFonts w:ascii="Tahoma" w:hAnsi="Tahoma" w:eastAsia="Tahoma" w:cs="Tahoma"/>
                <w:b/>
                <w:sz w:val="22"/>
                <w:szCs w:val="22"/>
              </w:rPr>
              <w:t xml:space="preserve">Exceptionnel- au bout d’une impasse, venez découvrir ce bien coup de coeur :  composé d’une maison en pierre et </w:t>
            </w:r>
            <w:r>
              <w:rPr>
                <w:rFonts w:ascii="Tahoma" w:hAnsi="Tahoma" w:eastAsia="Tahoma" w:cs="Tahoma"/>
                <w:b/>
                <w:sz w:val="22"/>
                <w:szCs w:val="22"/>
              </w:rPr>
              <w:t xml:space="preserve">d’une ancienne maison en pierre à rénover.</w:t>
              <w:br/>
              <w:t xml:space="preserve">La maison d’habitation distribue en rez de chaussée un salon/salle à manger et une cuisine séparée, au première étage deux chambres, une salle d’eau, les WC sont séparés.</w:t>
              <w:br/>
              <w:t xml:space="preserve">Double vitrage, chauffage par pompe à chal</w:t>
            </w:r>
            <w:r>
              <w:rPr>
                <w:rFonts w:ascii="Tahoma" w:hAnsi="Tahoma" w:eastAsia="Tahoma" w:cs="Tahoma"/>
                <w:b/>
                <w:sz w:val="22"/>
                <w:szCs w:val="22"/>
              </w:rPr>
              <w:t xml:space="preserve">eur.</w:t>
              <w:br/>
              <w:t xml:space="preserve">Le second bien est une dépendance en pierre à rénover totalement , celle-ci peut être aménagée sur 3 niveaux ,Terrain de 845m2</w:t>
              <w:br/>
            </w:r>
            <w:r/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 w:cs="Tahoma"/>
                <w:b/>
                <w:szCs w:val="24"/>
              </w:rPr>
            </w:pPr>
            <w:r>
              <w:rPr>
                <w:rFonts w:ascii="Tahoma" w:hAnsi="Tahoma" w:eastAsia="Tahoma" w:cs="Tahoma"/>
                <w:b/>
                <w:szCs w:val="24"/>
              </w:rPr>
            </w:r>
            <w:r/>
          </w:p>
        </w:tc>
      </w:tr>
      <w:tr>
        <w:trPr/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6443" w:type="dxa"/>
            <w:vAlign w:val="center"/>
            <w:textDirection w:val="lrTb"/>
            <w:noWrap w:val="false"/>
          </w:tcPr>
          <w:p>
            <w:pPr>
              <w:pStyle w:val="644"/>
              <w:ind w:right="95"/>
              <w:jc w:val="center"/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</w:pP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PRIX HONORAIRES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INCLUS: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 254 000 €</w:t>
            </w:r>
            <w:r/>
          </w:p>
          <w:p>
            <w:pPr>
              <w:pStyle w:val="644"/>
              <w:ind w:right="95"/>
              <w:jc w:val="center"/>
              <w:rPr>
                <w:rFonts w:ascii="Tahoma" w:hAnsi="Tahoma" w:eastAsia="Tahoma" w:cs="Tahoma"/>
                <w:bCs/>
                <w:sz w:val="32"/>
                <w:szCs w:val="32"/>
                <w:lang w:val="fr-FR"/>
              </w:rPr>
            </w:pPr>
            <w:r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  <w:t xml:space="preserve">Prix hors honoraires </w:t>
            </w:r>
            <w:r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  <w:t xml:space="preserve">d'agence:</w:t>
            </w:r>
            <w:r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ahoma" w:hAnsi="Tahoma" w:eastAsia="Tahoma" w:cs="Tahoma"/>
                <w:b/>
                <w:sz w:val="28"/>
                <w:szCs w:val="28"/>
                <w:lang w:val="fr-FR"/>
              </w:rPr>
              <w:t xml:space="preserve">240 000 €</w:t>
            </w:r>
            <w:r/>
          </w:p>
          <w:p>
            <w:pPr>
              <w:pStyle w:val="644"/>
              <w:ind w:right="95"/>
              <w:jc w:val="center"/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</w:pPr>
            <w:r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8"/>
                <w:szCs w:val="28"/>
                <w:lang w:val="fr-FR"/>
              </w:rPr>
              <w:t xml:space="preserve">5.8333333333333 % TTC </w:t>
            </w:r>
            <w:r>
              <w:rPr>
                <w:rFonts w:ascii="Tahoma" w:hAnsi="Tahoma" w:eastAsia="Tahoma" w:cs="Tahoma"/>
                <w:bCs/>
                <w:sz w:val="28"/>
                <w:szCs w:val="28"/>
                <w:lang w:val="fr-FR"/>
              </w:rPr>
              <w:t xml:space="preserve">à la charge de l’acquéreur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4" w:right="170" w:bottom="284" w:left="17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borneka</cp:lastModifiedBy>
  <cp:revision>25</cp:revision>
  <dcterms:created xsi:type="dcterms:W3CDTF">2023-07-24T08:47:00Z</dcterms:created>
  <dcterms:modified xsi:type="dcterms:W3CDTF">2024-09-18T07:12:22Z</dcterms:modified>
</cp:coreProperties>
</file>