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1343</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rPr>
        <w:t xml:space="preserve">VERNET Patrick  233 Impasse de Frajac 24250 BOUZIC</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DUPUY VERNET Laurence 84 Impasse de la Vermeille 32600 MONBRUN </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FAGET Astrid 11 Impasse de Pandellé 31410 LONGAGES</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VERNET Kévin 40 Rue des Suisses 92000 NANTERRE </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rPr>
          <w:rFonts w:ascii="Lato" w:hAnsi="Lato" w:eastAsia="Tahoma"/>
          <w:sz w:val="14"/>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b/>
          <w:sz w:val="20"/>
          <w:u w:val="single"/>
          <w:lang w:val="fr-FR"/>
        </w:rPr>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b/>
          <w:sz w:val="20"/>
          <w:u w:val="single"/>
          <w:lang w:val="fr-FR"/>
        </w:rPr>
        <w:t xml:space="preserve"> 1. Situation - Désignation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106, Route de la Riviere 24250 DAGL</w:t>
      </w:r>
      <w:r>
        <w:rPr>
          <w:rFonts w:ascii="Lato" w:hAnsi="Lato" w:eastAsia="Tahoma"/>
          <w:sz w:val="16"/>
          <w:lang w:val="fr-FR"/>
        </w:rPr>
        <w:t xml:space="preserve">AN</w:t>
        <w:br/>
        <w:t xml:space="preserve">Aux Portes d'un village typique du Périgord Noir, avec petits commerces à pieds et écoles,  trouvez cette belle maison de famille en pierre, érigée sur un un terrain de 6812 m2 , 3 gites, une belle piscine, ce bien saura vous séduire par ses beaux volum</w:t>
      </w:r>
      <w:r>
        <w:rPr>
          <w:rFonts w:ascii="Lato" w:hAnsi="Lato" w:eastAsia="Tahoma"/>
          <w:sz w:val="16"/>
          <w:lang w:val="fr-FR"/>
        </w:rPr>
        <w:t xml:space="preserve">es, et ses nombreuses possibilités d'aménagement. </w:t>
        <w:br/>
        <w:t xml:space="preserve">Maison principale : en rez de terrasse une belle entrée s'ouvre sur une cuisine indépendante, un salon salle à manger sur parquet avec cheminée, une chambre , un salle d'eau, wc séparés, au 1er étage 4 gra</w:t>
      </w:r>
      <w:r>
        <w:rPr>
          <w:rFonts w:ascii="Lato" w:hAnsi="Lato" w:eastAsia="Tahoma"/>
          <w:sz w:val="16"/>
          <w:lang w:val="fr-FR"/>
        </w:rPr>
        <w:t xml:space="preserve">ndes chambres avec cheminée dont une en suite ainsi qu'un bureau faisant office de chambre. </w:t>
        <w:br/>
        <w:t xml:space="preserve">Le sous-sol entier de cette maison se compose d'une partie atelier/garage, une partie stockage, ainsi qu'une salle d'eau et coin cuisine à rénover (possibilité d'u</w:t>
      </w:r>
      <w:r>
        <w:rPr>
          <w:rFonts w:ascii="Lato" w:hAnsi="Lato" w:eastAsia="Tahoma"/>
          <w:sz w:val="16"/>
          <w:lang w:val="fr-FR"/>
        </w:rPr>
        <w:t xml:space="preserve">n appartement indépendant).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Trois gîtes en très bon état disposent d'une entrée indépendante avec parkings : deux des gîtes ont une capacité d'accueil de 2 personnes, le troisième peut accueillir jusqu'à 6 personnes.  En dépendance, un garage en bois avec</w:t>
      </w:r>
      <w:r>
        <w:rPr>
          <w:rFonts w:ascii="Lato" w:hAnsi="Lato" w:eastAsia="Tahoma"/>
          <w:sz w:val="16"/>
          <w:lang w:val="fr-FR"/>
        </w:rPr>
        <w:t xml:space="preserve"> partie appenti.  Le tout sur un terrain plat et arboré de 6812m2 agrémenté d'une belle piscine 14x7 avec jacuzzi.  Tout à l'égout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highlight w:val="none"/>
          <w:u w:val="single"/>
          <w:lang w:val="fr-FR"/>
        </w:rPr>
      </w:pPr>
      <w:r>
        <w:rPr>
          <w:rFonts w:ascii="Lato" w:hAnsi="Lato" w:eastAsia="Tahoma"/>
          <w:sz w:val="16"/>
        </w:rPr>
        <w:t xml:space="preserve">REFERENCE(S) CADASTRALE(S): SECTION 000 AR 8 - 9 - 221 - 223 - 464 - 465 - 466 - 467 </w:t>
      </w:r>
      <w:r>
        <w:rPr>
          <w:rFonts w:ascii="Lato" w:hAnsi="Lato" w:eastAsia="Tahoma"/>
          <w:b/>
          <w:bCs/>
          <w:sz w:val="16"/>
          <w:szCs w:val="16"/>
          <w:highlight w:val="none"/>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580 000 € -  cinq cent quatre-vingt mille euros   payable comptant le jour de la signature de l'acte authentique, tant à l'aide de prêts que de fonds propres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29 000 € TTC  soit 5 %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2024-06-21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1256019" cy="65978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35257" name=""/>
                        <pic:cNvPicPr>
                          <a:picLocks noChangeAspect="1"/>
                        </pic:cNvPicPr>
                        <pic:nvPr/>
                      </pic:nvPicPr>
                      <pic:blipFill>
                        <a:blip r:embed="rId12"/>
                        <a:stretch/>
                      </pic:blipFill>
                      <pic:spPr bwMode="auto">
                        <a:xfrm flipH="0" flipV="0">
                          <a:off x="0" y="0"/>
                          <a:ext cx="1256018" cy="6597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8.9pt;height:52.0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rPr>
          <w:rFonts w:ascii="Lato" w:hAnsi="Lato" w:eastAsia="Tahoma"/>
          <w:b/>
          <w:sz w:val="16"/>
          <w:u w:val="single"/>
          <w:lang w:val="fr-FR"/>
        </w:rPr>
        <w:br w:type="page" w:clear="all"/>
      </w:r>
      <w:r>
        <w:rPr>
          <w:rFonts w:ascii="Lato" w:hAnsi="Lato" w:eastAsia="Tahoma"/>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21/06/2024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2024-06-24T12:21:15Z</dcterms:modified>
</cp:coreProperties>
</file>