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1291</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Je, soussigné,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DELORD THIERRY 47, route d'Argentouleau  24200 SARLAT LA CANEDA</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u w:val="single"/>
        </w:rPr>
      </w:pPr>
      <w:r>
        <w:rPr>
          <w:rFonts w:ascii="Tahoma" w:hAnsi="Tahoma" w:eastAsia="Tahoma"/>
          <w:b/>
          <w:sz w:val="20"/>
          <w:highlight w:val="none"/>
          <w:u w:val="single"/>
        </w:rPr>
      </w:r>
      <w:r>
        <w:rPr>
          <w:rFonts w:ascii="Tahoma" w:hAnsi="Tahoma" w:eastAsia="Tahoma"/>
          <w:b/>
          <w:sz w:val="20"/>
          <w:highlight w:val="none"/>
          <w:u w:val="singl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RUE DU FRAYSSE 24170 SIORAC-EN-PERIGORD</w:t>
        <w:br/>
        <w:t xml:space="preserv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B n° 1535 pour une contenance der 750 m2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14 000 € -  quatorze mille  EUROS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3 000 € TTC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szCs w:val="14"/>
          <w:highlight w:val="none"/>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4"/>
          <w:highlight w:val="none"/>
        </w:rPr>
      </w:r>
      <w:r>
        <w:rPr>
          <w:rFonts w:ascii="Tahoma" w:hAnsi="Tahoma" w:eastAsia="Tahoma"/>
          <w:sz w:val="14"/>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szCs w:val="14"/>
          <w:highlight w:val="none"/>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4"/>
          <w:highlight w:val="none"/>
        </w:rPr>
      </w:r>
      <w:r>
        <w:rPr>
          <w:rFonts w:ascii="Tahoma" w:hAnsi="Tahoma" w:eastAsia="Tahoma"/>
          <w:sz w:val="14"/>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highlight w:val="none"/>
        </w:rPr>
      </w:r>
      <w:r>
        <w:rPr>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szCs w:val="20"/>
          <w:highlight w:val="none"/>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20"/>
          <w:highlight w:val="none"/>
        </w:rPr>
      </w:r>
      <w:r>
        <w:rPr>
          <w:rFonts w:ascii="Tahoma" w:hAnsi="Tahoma" w:eastAsia="Tahoma"/>
          <w:sz w:val="20"/>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8"/>
          <w:szCs w:val="18"/>
          <w:u w:val="single"/>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t xml:space="preserve">paraphe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u w:val="single"/>
        </w:rPr>
      </w:pPr>
      <w:r>
        <w:rPr>
          <w:rFonts w:ascii="Tahoma" w:hAnsi="Tahoma" w:eastAsia="Tahoma"/>
          <w:b/>
          <w:sz w:val="20"/>
          <w:highlight w:val="none"/>
          <w:u w:val="single"/>
        </w:rPr>
      </w:r>
      <w:r>
        <w:rPr>
          <w:rFonts w:ascii="Tahoma" w:hAnsi="Tahoma" w:eastAsia="Tahoma"/>
          <w:b/>
          <w:sz w:val="20"/>
          <w:highlight w:val="none"/>
          <w:u w:val="singl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SARLAT LA  CANEDA                              le 2023-10-18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ab/>
        <w:tab/>
        <w:tab/>
        <w:tab/>
        <w:tab/>
      </w:r>
      <w:r>
        <w:rPr>
          <w:rFonts w:ascii="Tahoma" w:hAnsi="Tahoma" w:eastAsia="Tahoma"/>
          <w:b/>
          <w:sz w:val="28"/>
          <w:u w:val="single"/>
        </w:rPr>
      </w:r>
      <w:r>
        <w:rPr>
          <w:rFonts w:ascii="Tahoma" w:hAnsi="Tahoma" w:eastAsia="Tahoma"/>
          <w:b/>
          <w:sz w:val="28"/>
          <w:u w:val="single"/>
        </w:rPr>
      </w:r>
      <w:r>
        <w:rPr>
          <w:rFonts w:ascii="Tahoma" w:hAnsi="Tahoma" w:eastAsia="Tahoma"/>
          <w:b/>
          <w:sz w:val="28"/>
          <w:u w:val="single"/>
        </w:rPr>
        <mc:AlternateContent>
          <mc:Choice Requires="wpg">
            <w:drawing>
              <wp:inline xmlns:wp="http://schemas.openxmlformats.org/drawingml/2006/wordprocessingDrawing" distT="0" distB="0" distL="0" distR="0">
                <wp:extent cx="2244725" cy="1179141"/>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5527" name=""/>
                        <pic:cNvPicPr>
                          <a:picLocks noChangeAspect="1"/>
                        </pic:cNvPicPr>
                        <pic:nvPr/>
                      </pic:nvPicPr>
                      <pic:blipFill>
                        <a:blip r:embed="rId13"/>
                        <a:stretch/>
                      </pic:blipFill>
                      <pic:spPr bwMode="auto">
                        <a:xfrm flipH="0" flipV="0">
                          <a:off x="0" y="0"/>
                          <a:ext cx="2244724" cy="117914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6.8pt;height:92.8pt;mso-wrap-distance-left:0.0pt;mso-wrap-distance-top:0.0pt;mso-wrap-distance-right:0.0pt;mso-wrap-distance-bottom:0.0pt;" stroked="false">
                <v:path textboxrect="0,0,0,0"/>
                <v:imagedata r:id="rId13" o:title=""/>
              </v:shape>
            </w:pict>
          </mc:Fallback>
        </mc:AlternateContent>
      </w:r>
      <w:r>
        <w:rPr>
          <w:rFonts w:ascii="Tahoma" w:hAnsi="Tahoma" w:eastAsia="Tahoma"/>
          <w:b/>
          <w:sz w:val="28"/>
          <w:u w:val="single"/>
        </w:rPr>
      </w:r>
      <w:r>
        <w:rPr>
          <w:rFonts w:ascii="Tahoma" w:hAnsi="Tahoma" w:eastAsia="Tahoma"/>
          <w:b/>
          <w:sz w:val="28"/>
          <w:u w:val="single"/>
        </w:rPr>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rPr>
          <w:rFonts w:ascii="Tahoma" w:hAnsi="Tahoma" w:eastAsia="Tahoma"/>
          <w:b/>
          <w:sz w:val="28"/>
          <w:u w:val="single"/>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bCs/>
          <w:sz w:val="28"/>
          <w:szCs w:val="28"/>
          <w:u w:val="single"/>
        </w:rPr>
      </w:r>
      <w:r>
        <w:rPr>
          <w:rFonts w:ascii="Tahoma" w:hAnsi="Tahoma" w:eastAsia="Tahoma"/>
          <w:b/>
          <w:bCs/>
          <w:sz w:val="28"/>
          <w:szCs w:val="28"/>
          <w:u w:val="single"/>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bCs/>
          <w:sz w:val="28"/>
          <w:szCs w:val="28"/>
          <w:u w:val="single"/>
        </w:rPr>
      </w:r>
      <w:r>
        <w:rPr>
          <w:rFonts w:ascii="Tahoma" w:hAnsi="Tahoma" w:eastAsia="Tahoma"/>
          <w:b/>
          <w:bCs/>
          <w:sz w:val="28"/>
          <w:szCs w:val="28"/>
          <w:u w:val="single"/>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rPr>
          <w:rFonts w:ascii="Tahoma" w:hAnsi="Tahoma" w:eastAsia="Tahoma"/>
          <w:b/>
          <w:sz w:val="28"/>
          <w:u w:val="single"/>
        </w:rPr>
      </w: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rPr>
          <w:rFonts w:ascii="Tahoma" w:hAnsi="Tahoma" w:eastAsia="Tahoma"/>
          <w:b/>
          <w:sz w:val="28"/>
          <w:u w:val="single"/>
        </w:rPr>
      </w: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.................................18 octobre 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2023-10-18T13:47:32Z</dcterms:modified>
</cp:coreProperties>
</file>