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1320</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rPr>
        <w:t xml:space="preserve">HUBERT DOMINIQUE   401 Bourg de Saint André – 24200 SAINT ANDRÉ D’ALLAS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HUBERT LÉON – 24 chemin de  PEYRENÈGRE – 24200 SARLAT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highlight w:val="none"/>
        </w:rPr>
      </w:pPr>
      <w:r>
        <w:rPr>
          <w:rFonts w:ascii="Lato" w:hAnsi="Lato" w:eastAsia="Tahoma"/>
          <w:sz w:val="16"/>
          <w:highlight w:val="none"/>
        </w:rPr>
        <w:t xml:space="preserve">HUBERT PIERRE - 11 RUE PIERRE TERMIER 69660 COLLONGES AU MONT D’OR</w:t>
      </w:r>
      <w:r>
        <w:rPr>
          <w:rFonts w:ascii="Lato" w:hAnsi="Lato" w:eastAsia="Tahoma"/>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r>
      <w:r>
        <w:rPr>
          <w:rFonts w:ascii="Lato" w:hAnsi="Lato" w:eastAsia="Tahoma"/>
          <w:sz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de  Peyrenegre 24200 SARLAT LA CANEDA</w:t>
        <w:br/>
        <w:t xml:space="preserve"> A Sarlat, au calme ,   venez découvrir ce joli terr</w:t>
      </w:r>
      <w:r>
        <w:rPr>
          <w:rFonts w:ascii="Lato" w:hAnsi="Lato" w:eastAsia="Tahoma"/>
          <w:sz w:val="16"/>
          <w:lang w:val="fr-FR"/>
        </w:rPr>
        <w:t xml:space="preserve">ain de 5297m2 dont 2525 m2 constructibles, </w:t>
        <w:br/>
        <w:t xml:space="preserve">présence d'une partie boisée sur le terrain secteur non soumis aux Bâtiments de France</w:t>
        <w:br/>
        <w:t xml:space="preserve"> 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609 - 611 -613</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50 000 € - cinquante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5 000 € TTC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bCs/>
          <w:sz w:val="20"/>
          <w:szCs w:val="20"/>
          <w:u w:val="single"/>
          <w:lang w:val="fr-FR"/>
        </w:rPr>
      </w:r>
      <w:r>
        <w:rPr>
          <w:rFonts w:ascii="Lato" w:hAnsi="Lato" w:eastAsia="Tahoma"/>
          <w:b/>
          <w:bCs/>
          <w:sz w:val="20"/>
          <w:szCs w:val="20"/>
          <w:u w:val="single"/>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8 avril 2024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 Lu et approuvé , Mandat accepté </w:t>
      </w:r>
      <w:r>
        <w:rPr>
          <w:rFonts w:ascii="Lato" w:hAnsi="Lato" w:eastAsia="Tahoma"/>
          <w:sz w:val="16"/>
          <w:highlight w:val="non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74"/>
        <w:jc w:val="right"/>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r>
      <w:r>
        <w:rPr>
          <w:rFonts w:ascii="Lato" w:hAnsi="Lato" w:eastAsia="Tahoma"/>
          <w:b/>
          <w:lang w:val="fr-FR"/>
        </w:rPr>
        <mc:AlternateContent>
          <mc:Choice Requires="wpg">
            <w:drawing>
              <wp:inline xmlns:wp="http://schemas.openxmlformats.org/drawingml/2006/wordprocessingDrawing" distT="0" distB="0" distL="0" distR="0">
                <wp:extent cx="2362200" cy="124085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44335" name=""/>
                        <pic:cNvPicPr>
                          <a:picLocks noChangeAspect="1"/>
                        </pic:cNvPicPr>
                        <pic:nvPr/>
                      </pic:nvPicPr>
                      <pic:blipFill>
                        <a:blip r:embed="rId14"/>
                        <a:stretch/>
                      </pic:blipFill>
                      <pic:spPr bwMode="auto">
                        <a:xfrm flipH="0" flipV="0">
                          <a:off x="0" y="0"/>
                          <a:ext cx="2362199" cy="1240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6.0pt;height:97.7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Informationscommuniquéesle : ........8 avril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2024-04-08T08:09:27Z</dcterms:modified>
</cp:coreProperties>
</file>