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LVT1369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Triangle d'or- Magnifique PÉRIGOURDINE avec vue et piscine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2880p1666f39eb21c6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2880p1666f39eb21c62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2880p2666f39ee83459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666f39ee83459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2880p2266f39edbc31f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880p2266f39edbc31f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?dpe=232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2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RARE - Dans l'un des plus beaux villages de France et du Périgord Noir , découvrez cette lumineuse Périgourdine de 148 m2 en parfait état, celle-ci se compose d'une entrée, d'un wc invité , d'une belle cui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sine équipée donnant sur la terrasse et le jardin, une pièce de vie de 49 m2 avec poutres apparentes, cantou avec  poêle à bois, ouvrant elle aussi sur agréable terrasse avec vue sur le parc; au 1er étage:  une chambre en suite avec salle de bains, une dou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che à l'italienne et WC, deux chambres, un bureau, une salle d'eau ( possibilité de rajouter une salle d'eau supplémentaire à cet étage); en rez de jardin : un salon d'été s'ouvre sur le parc joliment arboré et fleuri de 1977m2 doté d'une piscine de 13x6 a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u chlore</w:t>
              <w:br/>
              <w:t xml:space="preserve">le  très beau jardin possède un puits avec pompe de relevage</w:t>
              <w:br/>
              <w:t xml:space="preserve">cette maison entièrement sur sous sol vous propose également un bel espace de rangement, cuisine d'été, et cave à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3.99%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28"/>
                <w:szCs w:val="28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PRIX HONORAIRES INCLUS</w:t>
            </w:r>
            <w:r>
              <w:rPr>
                <w:rFonts w:ascii="Tahoma" w:hAnsi="Tahoma" w:eastAsia="Tahoma"/>
                <w:b/>
              </w:rPr>
              <w:t xml:space="preserve"> </w:t>
            </w:r>
            <w:r>
              <w:rPr>
                <w:rFonts w:ascii="Tahoma" w:hAnsi="Tahoma" w:eastAsia="Tahoma"/>
                <w:b/>
              </w:rPr>
              <w:t xml:space="preserve">:</w:t>
            </w:r>
            <w:r>
              <w:rPr>
                <w:rFonts w:ascii="Tahoma" w:hAnsi="Tahoma" w:eastAsia="Tahoma"/>
                <w:b/>
                <w:sz w:val="36"/>
              </w:rPr>
              <w:t xml:space="preserve"> 619 300 €</w:t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619 300 €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3</cp:revision>
  <dcterms:created xsi:type="dcterms:W3CDTF">2024-11-12T13:57:00Z</dcterms:created>
  <dcterms:modified xsi:type="dcterms:W3CDTF">2024-11-12T14:02:43Z</dcterms:modified>
</cp:coreProperties>
</file>