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24748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Monsieur Patrick LEFEVRE,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Terrain Constructible</w:t>
            </w:r>
            <w:r>
              <w:rPr>
                <w:b/>
                <w:color w:val="000000"/>
                <w:sz w:val="22"/>
              </w:rPr>
              <w:t xml:space="preserve"> (réf. DEP0863)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:49.500 €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Entre Les Eyzies et Sarlat, au calme sur les hauteurs avec de très belles vues, </w:t>
            </w:r>
            <w:r>
              <w:rPr>
                <w:sz w:val="22"/>
              </w:rPr>
              <w:t xml:space="preserve">ce terrain constructible de 2371 m² est arboré de quelques fruitiers.</w:t>
              <w:br/>
              <w:t xml:space="preserve">Eau et électricité à proximité.</w:t>
              <w:br/>
              <w:t xml:space="preserve">Borne d'irrigation possible.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Fait à SARLAT-LA-CANEDA, le 28 09 2023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8942" cy="97649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684502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58942" cy="9764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6.4pt;height:76.9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2"/>
                <w:lang w:val="fr-FR"/>
              </w:rPr>
            </w:r>
            <w:r/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Adrien THOMAS,  Lu et Approuvé </w: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Monsieur  LEFEVRE Patrick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2023-09-28T08:10:11Z</dcterms:modified>
</cp:coreProperties>
</file>