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625340" cy="3556372"/>
                            <wp:effectExtent l="0" t="0" r="0" b="0"/>
                            <wp:docPr id="1" name="Picture 1" descr="https://gildc.activimmo.ovh/pic/450x346/17gildc6501982p6365d35285d0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7190878" name="https://gildc.activimmo.ovh/pic/450x346/17gildc6501982p6365d35285d0cf2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4625339" cy="3556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64.2pt;height:280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94084" cy="1718310"/>
                            <wp:effectExtent l="0" t="0" r="0" b="0"/>
                            <wp:docPr id="2" name="Picture 1" descr="https://gildc.activimmo.ovh/pic/225x150/17gildc6501982p6465d3529fb30c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486619" name="https://gildc.activimmo.ovh/pic/225x150/17gildc6501982p6465d3529fb30c2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94083" cy="1718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96.4pt;height:135.3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77465" cy="1718310"/>
                            <wp:effectExtent l="0" t="0" r="0" b="0"/>
                            <wp:docPr id="3" name="Picture 1" descr="https://gildc.activimmo.ovh/pic/225x150/17gildc6501982p6565d3539c9b3b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147514" name="https://gildc.activimmo.ovh/pic/225x150/17gildc6501982p6565d3539c9b3b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77465" cy="1718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02.9pt;height:135.3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/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90381" cy="1726920"/>
                            <wp:effectExtent l="0" t="0" r="0" b="0"/>
                            <wp:docPr id="4" name="Picture 1" descr="https://gildc.activimmo.ovh/pic/225x150/17gildc6501982p6665d353ba6518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6748938" name="https://gildc.activimmo.ovh/pic/225x150/17gildc6501982p6665d353ba6518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90380" cy="172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04.0pt;height:136.0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44140" cy="1762760"/>
                            <wp:effectExtent l="0" t="0" r="0" b="0"/>
                            <wp:docPr id="5" name="Picture 1" descr="https://gildc.activimmo.ovh/pic/225x150/17gildc6501982p6765d353beea2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982p6765d353beea277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44139" cy="1762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08.2pt;height:138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52856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P2614 -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CASTELS ET BEZENAC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16"/>
                      <w:szCs w:val="16"/>
                    </w:rPr>
                  </w:r>
                  <w:r/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  <w:r>
                    <w:rPr>
                      <w:rFonts w:ascii="Century Gothic" w:hAnsi="Century Gothic" w:eastAsia="Century Gothic"/>
                      <w:b/>
                      <w:sz w:val="16"/>
                      <w:szCs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color w:val="052856"/>
                      <w:sz w:val="16"/>
                      <w:szCs w:val="16"/>
                      <w:highlight w:val="none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52856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16"/>
                      <w:szCs w:val="16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16"/>
                      <w:szCs w:val="16"/>
                      <w:highlight w:val="none"/>
                    </w:rPr>
                  </w:r>
                </w:p>
                <w:p>
                  <w:pPr>
                    <w:pStyle w:val="682"/>
                    <w:ind w:right="113"/>
                    <w:jc w:val="left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Découvrez cet ensemble en pierres, une opportunité offrant un cadre de vie pa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isible et des possibilités d'aménagement.</w:t>
                    <w:br/>
                    <w:t xml:space="preserve">La maison principale de 130 m2 se compose de trois chambres spacieuses. Un bel espace de vie lumineux s'ouvre sur un balcon offrant une vue dégagée sur les environs. L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 cuisine indépendante offre un espace fonctionnel.</w:t>
                    <w:br/>
                    <w:t xml:space="preserve">En rez-de-jardin, un garage, une buanderie et une chaudière à pellets ajoutent un confort supplémentaire à la maison principale.</w:t>
                    <w:br/>
                    <w:t xml:space="preserve">Un gîte attenant de 50 m2 offre une op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portunité de revenu supplémentaire ou d'espace pour accueillir des invités. Avec une pièce à vivre avec coin cuisine, une salle d'eau, une chambre et une terrasse privative, il offre un cadre confortable et intime.</w:t>
                    <w:br/>
                    <w:t xml:space="preserve">Une grange en pierres d'environ 120 m2 o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ffre un potentiel considérable pour de futurs projets d'aménagement.</w:t>
                    <w:br/>
                    <w:t xml:space="preserve">Le jardin plat de 7 853 m2, agrémenté d'un puit, offre un espace extérieur généreux pour profiter des belles journées ensoleillées.</w:t>
                    <w:br/>
                    <w:t xml:space="preserve">Situé à seulement 5 minutes des commerces, du garage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SNCF et des écoles, cet ensemble offre le parfait équilibre entre la tranquillité de la campagne et la proximité des commodités.</w:t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36"/>
                      <w:szCs w:val="36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472 500 €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6"/>
                      <w:szCs w:val="36"/>
                    </w:rPr>
                    <w:t xml:space="preserve">*</w:t>
                  </w:r>
                  <w:r>
                    <w:rPr>
                      <w:sz w:val="36"/>
                      <w:szCs w:val="36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  <w:t xml:space="preserve">* Honoraires à charge de l'acquéreur</w:t>
                  </w:r>
                  <w:r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  <w:br/>
                    <w:t xml:space="preserve">Prix honoraires exclu :  450 000 €</w:t>
                  </w: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312&amp;ges=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312&amp;ges=9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9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10/01/2024</w:t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Année de référence utilisée pour établir la simulation des dépenses annuelles 2021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2660 €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3660 €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902210" cy="856981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5376945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7270" t="20871" r="18346" b="1797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902210" cy="85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71.0pt;height:67.5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- 19 rie de Paris , 24260, LE BUGUE - 05.53.13.26.86 - Perigordnoirimmobilier.com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2024-02-29T09:23:32Z</dcterms:modified>
</cp:coreProperties>
</file>