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35500" cy="1905000"/>
                <wp:effectExtent l="0" t="0" r="0" b="0"/>
                <wp:docPr id="1" name="Picture 1" descr="https://gildc.activimmo.ovh/mesimages/logo117gil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mesimages/logo117gildc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635500" cy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5.0pt;height:150.0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502491p24667d2810ddb6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2491p24667d2810ddb6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2491p27667d2813a665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491p27667d2813a665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2491p19667d2939662f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491p19667d2939662f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2491p1666997244e95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491p1666997244e95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502491p22667d280f08fe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491p22667d280f08fe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left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Vente - M</w:t>
                  </w: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aison Ancienne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2510 TREMOLAT</w:t>
                  </w:r>
                  <w:r/>
                  <w:r/>
                </w:p>
                <w:p>
                  <w:pPr>
                    <w:pStyle w:val="682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2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Donnez une nouvelle vie à cette maison de village en pierre ! Au rez-de-chaussée, un salon et une cuisine d'environ 34 m². À l'étage, même si le parquet grince un peu d'aventures passées, deux chambres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de 10 m² et 14 m², ainsi qu'une salle de bain avec WC, complètent les 64 m² habitables. Plongez-vous dans l'aventure de la rénovation et découvrez le charme authentique du Périgord, dans ce village typique avec quelques commerces et à moins de 14 km de Lal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inde et du Bugue. </w:t>
                    <w:br/>
                    <w:t xml:space="preserve">La proximité du bassin nautique au bord de la Dordogne laisse présager de bons moments en famille ou entre amis.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82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Prix :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49 000 €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*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45 000 €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REF : AP2655       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81075" cy="895350"/>
                            <wp:effectExtent l="0" t="0" r="0" b="0"/>
                            <wp:docPr id="7" name="Picture 1" descr="https://files.activimmo.com/storage/etiquettes/photo/dpe/dpe-energie-n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50606912" name="https://files.activimmo.com/storage/etiquettes/photo/dpe/dpe-energie-n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1074" cy="8953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77.2pt;height:70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81075" cy="895350"/>
                            <wp:effectExtent l="0" t="0" r="0" b="0"/>
                            <wp:docPr id="8" name="Picture 1" descr="https://files.activimmo.com/storage/etiquettes/photo/dpe/ges-energie-n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ges-energie-n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1075" cy="895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77.2pt;height:70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Header Ch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Footer Ch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16</cp:revision>
  <dcterms:created xsi:type="dcterms:W3CDTF">2023-03-29T11:30:00Z</dcterms:created>
  <dcterms:modified xsi:type="dcterms:W3CDTF">2024-06-27T14:28:05Z</dcterms:modified>
</cp:coreProperties>
</file>