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72020" cy="1550145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772020" cy="15501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97.0pt;height:122.1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Century Gothic" w:hAnsi="Century Gothic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Century Gothic" w:hAnsi="Century Gothic" w:cs="Arial"/>
          <w:sz w:val="16"/>
          <w:szCs w:val="12"/>
        </w:rPr>
      </w:pPr>
      <w:r>
        <w:rPr>
          <w:rFonts w:ascii="Century Gothic" w:hAnsi="Century Gothic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 w:cs="Arial"/>
          <w:color w:val="000000"/>
          <w:sz w:val="16"/>
          <w:szCs w:val="14"/>
        </w:rPr>
      </w:pPr>
      <w:r>
        <w:rPr>
          <w:rFonts w:ascii="Century Gothic" w:hAnsi="Century Gothic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  <w:sz w:val="36"/>
                <w:szCs w:val="36"/>
              </w:rPr>
            </w:pPr>
            <w:r>
              <w:rPr>
                <w:rFonts w:cs="Arial"/>
                <w:color w:val="000000"/>
                <w:sz w:val="36"/>
                <w:szCs w:val="36"/>
              </w:rPr>
              <w:t xml:space="preserve"> Propriété du 17ème siècle à restaurer avec 4 hectares de terrains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SAINT AVIT SENIEUR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424 000 €</w:t>
            </w:r>
            <w:r/>
          </w:p>
          <w:p>
            <w:pPr>
              <w:pStyle w:val="686"/>
              <w:jc w:val="center"/>
              <w:keepLines/>
              <w:rPr>
                <w:rFonts w:cs="Arial"/>
                <w:b w:val="0"/>
                <w:color w:val="000000"/>
                <w:sz w:val="28"/>
                <w:lang w:val="fr-FR"/>
              </w:rPr>
            </w:pPr>
            <w:r>
              <w:rPr>
                <w:rFonts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r>
              <w:rPr>
                <w:rFonts w:cs="Arial"/>
                <w:b w:val="0"/>
                <w:color w:val="000000"/>
                <w:sz w:val="28"/>
              </w:rPr>
              <w:t xml:space="preserve"> AP2548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0688p4465c62cc15a3b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0688p4465c62cc15a3b3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6192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055678b911d255a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6192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6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6859678b911d255b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9319678b911d255cb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8240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173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1317678b911d255da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 w:cs="Arial"/>
                            <w:b/>
                            <w:sz w:val="18"/>
                            <w:lang w:val="fr-FR"/>
                          </w:rPr>
                          <w:t xml:space="preserve">Terrain : 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b w:val="0"/>
                      <w:sz w:val="22"/>
                    </w:rPr>
                    <w:br/>
                    <w:br/>
                    <w:t xml:space="preserve">Saisissez l'occasion de réveiller l'histoire avec cette propriété datant de 1650, un véritable trésor d'authenticité qui attend d'être restauré à sa splendeur d'origine. Nichée dans un cadre pittoresque, cette propriété of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fre une toile vierge pour créer un domaine exceptionnel chargé d'histoire.</w:t>
                    <w:br/>
                    <w:br/>
                    <w:t xml:space="preserve">La maison principale, d'une surface généreuse de 173 m2, compte 6 chambres, dont une en rez-de-chaussée pour plus de praticité. Chaque pièce évoque le charme d'antan, offrant un po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tentiel incroyable pour une restauration fidèle à son époque d'origine.</w:t>
                    <w:br/>
                    <w:br/>
                    <w:t xml:space="preserve">Une ancienne maison pour les métayers, d'une superficie de 50 m2, ajoute une dimension historique à la propriété, offrant un espace supplémentaire à rénover selon vos besoins.</w:t>
                    <w:br/>
                    <w:br/>
                    <w:t xml:space="preserve">Divers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es dépendances, dont des granges, un hangar et un four à pain, enrichissent le caractère de la propriété et offrent des possibilités infinies pour des projets créatifs.</w:t>
                    <w:br/>
                    <w:br/>
                    <w:t xml:space="preserve">Le vaste terrain de presque 4 hectares, agrémenté d'une réserve d'eau de pluie, offre </w:t>
                  </w:r>
                  <w:r>
                    <w:rPr>
                      <w:rFonts w:cs="Arial"/>
                      <w:b w:val="0"/>
                      <w:sz w:val="22"/>
                    </w:rPr>
                    <w:t xml:space="preserve">un cadre naturel préservé, idéal pour les amateurs de tranquillité et de plein air.</w:t>
                    <w:br/>
                    <w:br/>
                    <w:t xml:space="preserve">Située à seulement 7 km des commerces locaux.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Caractéristiques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Type:  Maison Ancienne</w:t>
                    <w:br/>
                    <w:t xml:space="preserve">Année constr.:  1650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Etat:  A restaurer ( non habitable )</w:t>
                    <w:br/>
                    <w:t xml:space="preserve">Surf. habitable:  173 m²</w:t>
                    <w:br/>
                    <w:t xml:space="preserve">Séjour:  28 m²</w:t>
                    <w:br/>
                    <w:t xml:space="preserve">Campagne non-isolée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6 Chambres</w:t>
                    <w:br/>
                    <w:t xml:space="preserve">1 Salle de bain</w:t>
                    <w:br/>
                    <w:t xml:space="preserve">11 Pièces</w:t>
                    <w:br/>
                    <w:t xml:space="preserve">Chauffage:  Aucun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Détails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SITUATION DU BIEN:</w:t>
                    <w:br/>
                    <w:t xml:space="preserve"> - Hameau </w:t>
                    <w:br/>
                    <w:br/>
                    <w:t xml:space="preserve">REZ DE JARDIN:</w:t>
                    <w:br/>
                    <w:t xml:space="preserve"> - Chambre 11 m2 (cheminée)</w:t>
                    <w:br/>
                    <w:t xml:space="preserve"> - Couloir 9,40 m2</w:t>
                    <w:br/>
                    <w:t xml:space="preserve"> - Cuisine 18,94 m2</w:t>
                    <w:br/>
                    <w:t xml:space="preserve"> - Dégageme</w:t>
                  </w:r>
                  <w:r>
                    <w:rPr>
                      <w:rFonts w:cs="Arial"/>
                    </w:rPr>
                    <w:t xml:space="preserve">nt 1,22 m2</w:t>
                    <w:br/>
                    <w:t xml:space="preserve"> - Hall d'entrée 3,77 m2</w:t>
                    <w:br/>
                    <w:t xml:space="preserve"> - Salle à manger 12,56 m2</w:t>
                    <w:br/>
                    <w:t xml:space="preserve"> - Salle de bains 2,24 m2</w:t>
                    <w:br/>
                    <w:t xml:space="preserve"> - Salon 28,01 m2 (cheminée)</w:t>
                    <w:br/>
                    <w:t xml:space="preserve"> - WC 2 m2</w:t>
                    <w:br/>
                    <w:br/>
                    <w:t xml:space="preserve">1ER ÉTAGE:</w:t>
                    <w:br/>
                    <w:t xml:space="preserve"> - 4 Chambres 11,36 m2 - 14,17 m2 - 16,02 m2 et 29,40 m2</w:t>
                    <w:br/>
                    <w:t xml:space="preserve"> - Palier 13,88 m2</w:t>
                    <w:br/>
                    <w:br/>
                    <w:t xml:space="preserve">2ÈME ÉTAGE:</w:t>
                    <w:br/>
                    <w:t xml:space="preserve"> - Grenier  40 m2 environ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DÉPENDANCES:</w:t>
                    <w:br/>
                    <w:t xml:space="preserve"> - Abri n° 1 abris bois de 48,34 m2</w:t>
                    <w:br/>
                    <w:t xml:space="preserve"> - Atelier </w:t>
                  </w:r>
                  <w:r>
                    <w:rPr>
                      <w:rFonts w:cs="Arial"/>
                    </w:rPr>
                    <w:t xml:space="preserve">21,38 m2</w:t>
                    <w:br/>
                    <w:t xml:space="preserve"> - Chai 59,41 m2 (toiture amiante)</w:t>
                    <w:br/>
                    <w:t xml:space="preserve"> - 2 Etables porcherie et écurie de 23,23 m2</w:t>
                    <w:br/>
                    <w:t xml:space="preserve"> - Four à pain </w:t>
                    <w:br/>
                    <w:t xml:space="preserve"> - Garage </w:t>
                    <w:br/>
                    <w:t xml:space="preserve"> - 2 Granges n° 1 : 83,35 m2 - n°2 : 54,83 m2 (hauteur de 7,58 m)</w:t>
                    <w:br/>
                    <w:t xml:space="preserve"> - Hangar 31,47 m2</w:t>
                    <w:br/>
                    <w:t xml:space="preserve"> - Maison de gardien de 50,29 m2 à restaurer : une pièc</w:t>
                  </w:r>
                  <w:r>
                    <w:rPr>
                      <w:rFonts w:cs="Arial"/>
                    </w:rPr>
                    <w:t xml:space="preserve">e, une cuisine (cheminée, souillarde), une chambre.</w:t>
                    <w:br/>
                    <w:t xml:space="preserve"> - Séchoir 91 m2 (toiture à refaire)</w:t>
                    <w:br/>
                    <w:br/>
                    <w:t xml:space="preserve">DPE:</w:t>
                    <w:br/>
                    <w:t xml:space="preserve"> - Consommation énergétique (en énergie primaire):</w:t>
                    <w:br/>
                    <w:t xml:space="preserve"> - Emission de gaz à effet de serre:</w:t>
                    <w:br/>
                    <w:br/>
                    <w:t xml:space="preserve">EQUIPEMENTS DIVERS:</w:t>
                    <w:br/>
                    <w:t xml:space="preserve"> - Fosse septique non conforme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</w:t>
                  </w:r>
                  <w:r>
                    <w:rPr>
                      <w:rFonts w:cs="Arial"/>
                    </w:rPr>
                    <w:t xml:space="preserve">- Simple vitrage </w:t>
                    <w:br/>
                    <w:br/>
                    <w:t xml:space="preserve">SERVICES:</w:t>
                    <w:br/>
                    <w:t xml:space="preserve"> - Ville la plus proche : SAINT AVIT SENIEUR</w:t>
                    <w:br/>
                    <w:t xml:space="preserve"> - Calme </w:t>
                    <w:br/>
                    <w:t xml:space="preserve"> - Commerces Beaumont du Périgord (7 kms)</w:t>
                    <w:br/>
                    <w:t xml:space="preserve"> - Dépendance </w:t>
                    <w:br/>
                    <w:t xml:space="preserve"> - Puits, source ou citerne réserves d'eau naturelles</w:t>
                    <w:br/>
                    <w:br/>
                    <w:t xml:space="preserve">TERRAIN:</w:t>
                    <w:br/>
                    <w:t xml:space="preserve"> - Boisé </w:t>
                    <w:br/>
                    <w:t xml:space="preserve"> - prairie </w:t>
                    <w:br/>
                    <w:br/>
                    <w:t xml:space="preserve">TOITURE:</w:t>
                    <w:br/>
                    <w:t xml:space="preserve"> - Tuiles de 1984.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cs="Arial"/>
          <w:color w:val="000000"/>
          <w:sz w:val="16"/>
        </w:rPr>
      </w:pPr>
      <w:r>
        <w:rPr>
          <w:rFonts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énergétique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  <w:t xml:space="preserve">Classe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GES :</w:t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74420"/>
                            <wp:effectExtent l="0" t="0" r="0" b="0"/>
                            <wp:docPr id="7" name="Picture 1" descr="https://files.activimmo.com/storage/etiquettes/photo/dpe/dpe-energi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92.7pt;height:84.6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177290" cy="1080135"/>
                            <wp:effectExtent l="0" t="0" r="0" b="0"/>
                            <wp:docPr id="8" name="Picture 1" descr="https://files.activimmo.com/storage/etiquettes/photo/dpe/dpe-ges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7290" cy="1080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92.7pt;height:8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cs="Arial"/>
                <w:color w:val="000000"/>
                <w:sz w:val="12"/>
              </w:rPr>
            </w:pPr>
            <w:r>
              <w:rPr>
                <w:rFonts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cs="Arial"/>
          <w:color w:val="000000"/>
          <w:sz w:val="6"/>
          <w:szCs w:val="10"/>
        </w:rPr>
      </w:pPr>
      <w:r>
        <w:rPr>
          <w:rFonts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Century Gothic" w:hAnsi="Century Gothic" w:eastAsia="Century Gothic" w:cs="Arial"/>
          <w:b/>
          <w:color w:val="000000"/>
          <w:sz w:val="16"/>
        </w:rPr>
      </w:pPr>
      <w:r>
        <w:rPr>
          <w:rFonts w:ascii="Century Gothic" w:hAnsi="Century Gothic" w:cs="Arial"/>
          <w:color w:val="000000"/>
          <w:sz w:val="16"/>
        </w:rPr>
        <w:br w:type="page" w:clear="all"/>
      </w:r>
      <w:r/>
    </w:p>
    <w:p>
      <w:pPr>
        <w:pStyle w:val="686"/>
        <w:rPr>
          <w:rFonts w:cs="Arial"/>
          <w:color w:val="000000"/>
          <w:sz w:val="10"/>
          <w:szCs w:val="14"/>
        </w:rPr>
      </w:pPr>
      <w:r>
        <w:rPr>
          <w:rFonts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0688p3965c62cc5d003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3965c62cc5d003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0688p3765c62cbf6887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3765c62cbf6887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0688p4565c62cc0d4f8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4565c62cc0d4f8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0688p4065c62cc23a8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4065c62cc23a8a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0688p3665c62cc4ea6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3665c62cc4ea65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0688p3165c62cbbe3a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3165c62cbbe3a7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0688p3265c62cba2fc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3265c62cba2fc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0688p3865c62cc3f128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3865c62cc3f128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0688p4665c62cbcb53e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688p4665c62cbcb53e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duperigord.fr%2Findex.php%3Faction%3Ddetail%26nbien%3D6500688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duperigord.fr%2Findex.php%3Faction%3Ddetail%26nbien%3D6500688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cs="Arial"/>
                <w:b w:val="0"/>
                <w:color w:val="000000"/>
                <w:sz w:val="4"/>
              </w:rPr>
            </w:pPr>
            <w:r>
              <w:rPr>
                <w:rFonts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cs="Arial"/>
          <w:b w:val="0"/>
          <w:color w:val="000000"/>
          <w:sz w:val="16"/>
        </w:rPr>
      </w:pPr>
      <w:r>
        <w:rPr>
          <w:rFonts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Century Gothic" w:hAnsi="Century Gothic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Century Gothic" w:hAnsi="Century Gothic" w:eastAsia="Century Gothic"/>
        <w:b/>
        <w:sz w:val="20"/>
      </w:rPr>
      <w:t xml:space="preserve">AGENCE DU PERIGORD</w:t>
    </w:r>
    <w:r>
      <w:rPr>
        <w:rFonts w:ascii="Century Gothic" w:hAnsi="Century Gothic" w:eastAsia="Century Gothic"/>
        <w:b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1, Voie de la Vallée -24220</w:t>
    </w:r>
    <w:r>
      <w:rPr>
        <w:rFonts w:ascii="Century Gothic" w:hAnsi="Century Gothic" w:eastAsia="Century Gothic"/>
        <w:sz w:val="20"/>
      </w:rPr>
      <w:t xml:space="preserve"> </w:t>
    </w:r>
    <w:r>
      <w:rPr>
        <w:rFonts w:ascii="Century Gothic" w:hAnsi="Century Gothic" w:eastAsia="Century Gothic"/>
        <w:sz w:val="20"/>
      </w:rPr>
      <w:t xml:space="preserve">SAINT-CYPRIEN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05 53 28 96 75 - agenceduperigord@gmail.com - www.agenceduperigord.fr</w:t>
    </w:r>
    <w:r>
      <w:rPr>
        <w:rFonts w:ascii="Century Gothic" w:hAnsi="Century Gothic" w:eastAsia="Century Gothic"/>
        <w:sz w:val="20"/>
      </w:rPr>
      <w:br/>
    </w:r>
    <w:r>
      <w:rPr>
        <w:rFonts w:ascii="Century Gothic" w:hAnsi="Century Gothic" w:eastAsia="Century Gothic"/>
        <w:sz w:val="20"/>
      </w:rPr>
      <w:t xml:space="preserve">- </w:t>
    </w:r>
    <w:r>
      <w:rPr>
        <w:rFonts w:ascii="Century Gothic" w:hAnsi="Century Gothic" w:eastAsia="Century Gothic"/>
        <w:sz w:val="20"/>
      </w:rPr>
      <w:t xml:space="preserve">Page </w:t>
    </w:r>
    <w:r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 \* MERGEFORMAT </w:instrText>
    </w:r>
    <w:r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sz w:val="20"/>
      </w:rPr>
      <w:t xml:space="preserve">1</w:t>
    </w:r>
    <w:r>
      <w:rPr>
        <w:rFonts w:ascii="Century Gothic" w:hAnsi="Century Gothic"/>
        <w:sz w:val="20"/>
      </w:rPr>
      <w:fldChar w:fldCharType="end"/>
    </w:r>
    <w:r>
      <w:rPr>
        <w:rFonts w:ascii="Century Gothic" w:hAnsi="Century Gothic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guimaan</cp:lastModifiedBy>
  <cp:revision>17</cp:revision>
  <dcterms:created xsi:type="dcterms:W3CDTF">2024-01-11T11:56:00Z</dcterms:created>
  <dcterms:modified xsi:type="dcterms:W3CDTF">2025-01-18T11:32:12Z</dcterms:modified>
</cp:coreProperties>
</file>