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25603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Jan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DE WOLF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 0032478207133 - Email : jan_dewolf@yahoo.com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MP113841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350000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1,600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On the heights of MONTIGNAC, beautiful restored stone house with land.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772p6052930lwur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772p6052930lwurp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vendredi 27 septembre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Cédric GEORGES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 Jan DE WOLF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2024-09-27T08:26:04Z</dcterms:modified>
</cp:coreProperties>
</file>