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2419" cy="868966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19104" cy="885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1pt;height:68.4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80000" cy="1080000"/>
                <wp:effectExtent l="0" t="0" r="635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79065" name="Picture 7367906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5.0pt;height:8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>
        <w:trPr/>
        <w:tc>
          <w:tcPr>
            <w:shd w:val="clear" w:color="auto" w:fill="c00000"/>
            <w:tcW w:w="10457" w:type="dxa"/>
            <w:textDirection w:val="lrTb"/>
            <w:noWrap w:val="false"/>
          </w:tcPr>
          <w:p>
            <w:pPr>
              <w:jc w:val="center"/>
              <w:spacing w:line="330" w:lineRule="atLeast"/>
              <w:rPr>
                <w:rFonts w:ascii="Century Gothic" w:hAnsi="Century Gothic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  <w:szCs w:val="20"/>
              </w:rPr>
            </w:r>
            <w:r/>
          </w:p>
          <w:p>
            <w:pPr>
              <w:jc w:val="center"/>
              <w:spacing w:line="330" w:lineRule="atLeast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Studio à proximité des commerces</w:t>
            </w:r>
            <w:r/>
          </w:p>
          <w:p>
            <w:pPr>
              <w:jc w:val="center"/>
              <w:spacing w:line="330" w:lineRule="atLeast"/>
              <w:rPr>
                <w:rFonts w:ascii="Century Gothic" w:hAnsi="Century Gothic"/>
                <w:color w:val="ffffff"/>
                <w:sz w:val="21"/>
                <w:szCs w:val="21"/>
              </w:rPr>
            </w:pPr>
            <w:r>
              <w:rPr>
                <w:rFonts w:ascii="Century Gothic" w:hAnsi="Century Gothic"/>
                <w:color w:val="ffffff"/>
                <w:sz w:val="21"/>
                <w:szCs w:val="21"/>
              </w:rPr>
            </w:r>
            <w:r/>
          </w:p>
        </w:tc>
      </w:tr>
    </w:tbl>
    <w:p>
      <w:pPr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Studio situé à proximité des commerces, écoles et gare SNCF (Saint-Cyprien) comprenant notamment : une pièce à vivre ave</w:t>
      </w:r>
      <w:r>
        <w:rPr>
          <w:rFonts w:ascii="Century Gothic" w:hAnsi="Century Gothic"/>
        </w:rPr>
        <w:t xml:space="preserve">c cuisine aménagée, une chambre avec salle d’eau/toilette.</w:t>
        <w:br/>
        <w:t xml:space="preserve">Terrasse d’environ 20 m2 commune. Double vitrage, chauffage électrique. </w:t>
        <w:br/>
        <w:t xml:space="preserve">Les informations sur les risques auxquels ce bien est exposé sont disponibles sur le site Géorisques: www.georisques.gouv.fr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>
        <w:trPr/>
        <w:tc>
          <w:tcPr>
            <w:gridSpan w:val="2"/>
            <w:tcW w:w="10457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15000" cy="3810000"/>
                      <wp:effectExtent l="0" t="0" r="0" b="0"/>
                      <wp:docPr id="3" name="Picture 1" descr="https://gildc.activimmo.ovh/pic/600x400/17gildc6498966p461d6ac2bef5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600x400/17gildc6498966p461d6ac2bef53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15000" cy="381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50.0pt;height:30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4" name="Picture 1" descr="https://gildc.activimmo.ovh/pic/270x180/17gildc6498966p261d6ac214b7b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8966p261d6ac214b7b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5" name="Picture 1" descr="https://gildc.activimmo.ovh/pic/270x180/17gildc6498966p361d6ac259706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8966p361d6ac259706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6" name="Picture 1" descr="https://gildc.activimmo.ovh/pic/270x180/17gildc6498966p561d6ac315de6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8966p561d6ac315de6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7" name="Picture 1" descr="https://gildc.activimmo.ovh/pic/270x180/17gildc6498966p161d6ac1ecab9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7gildc6498966p161d6ac1ecab9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  <w:tr>
        <w:trPr/>
        <w:tc>
          <w:tcPr>
            <w:tcW w:w="5228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</w:tc>
        <w:tc>
          <w:tcPr>
            <w:tcW w:w="522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  <w:r/>
          </w:p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  <w:r/>
          </w:p>
        </w:tc>
      </w:tr>
    </w:tbl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00250" cy="2000250"/>
                <wp:effectExtent l="0" t="0" r="0" b="0"/>
                <wp:docPr id="8" name="Picture 1" descr="https://dpe.files.activimmo.com/elan?dpe=439&amp;ges=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dpe.files.activimmo.com/elan?dpe=439&amp;ges=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000250" cy="200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57.5pt;height:157.5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00250" cy="2000250"/>
                <wp:effectExtent l="0" t="0" r="0" b="0"/>
                <wp:docPr id="9" name="Picture 1" descr="https://dpe.files.activimmo.com/elan/ges/?ges=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dpe.files.activimmo.com/elan/ges/?ges=0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000250" cy="200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57.5pt;height:157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de réalisation </w:t>
      </w:r>
      <w:r>
        <w:rPr>
          <w:rFonts w:ascii="Century Gothic" w:hAnsi="Century Gothic"/>
        </w:rPr>
        <w:t xml:space="preserve">dpe</w:t>
      </w:r>
      <w:r>
        <w:rPr>
          <w:rFonts w:ascii="Century Gothic" w:hAnsi="Century Gothic"/>
        </w:rPr>
        <w:t xml:space="preserve">:</w:t>
      </w:r>
      <w:r>
        <w:rPr>
          <w:rFonts w:ascii="Century Gothic" w:hAnsi="Century Gothic"/>
        </w:rPr>
        <w:t xml:space="preserve"> 18/09/2023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Année de référence utilisée pour établir la simulation des dépenses annuelles 2023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Montant bas supposé et théorique des dépenses énergétiques: 1090 € 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Montant haut supposé et théorique des dépenses énergétiques: 1530 €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PRIX HONORAIRES EXCLUS :</w:t>
      </w:r>
      <w:r>
        <w:rPr>
          <w:rFonts w:ascii="Century Gothic" w:hAnsi="Century Gothic"/>
          <w:b/>
          <w:bCs/>
        </w:rPr>
        <w:t xml:space="preserve"> 330 €</w:t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HONORAIRES TTC A LA CHARGE DE L’ACQUÉREUR : </w:t>
      </w:r>
      <w:r>
        <w:rPr>
          <w:rFonts w:ascii="Century Gothic" w:hAnsi="Century Gothic"/>
          <w:b/>
          <w:bCs/>
        </w:rPr>
        <w:t xml:space="preserve">165,00 €</w:t>
      </w:r>
      <w:r/>
    </w:p>
    <w:p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Données non contractuelles fournies à titre indicatif</w:t>
      </w:r>
      <w:r/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>
        <w:trPr/>
        <w:tc>
          <w:tcPr>
            <w:shd w:val="clear" w:color="auto" w:fill="c00000"/>
            <w:tcW w:w="10457" w:type="dxa"/>
            <w:textDirection w:val="lrTb"/>
            <w:noWrap w:val="false"/>
          </w:tcPr>
          <w:p>
            <w:pPr>
              <w:jc w:val="center"/>
              <w:spacing w:line="330" w:lineRule="atLeast"/>
              <w:rPr>
                <w:rFonts w:ascii="Century Gothic" w:hAnsi="Century Gothic"/>
                <w:color w:val="ffffff"/>
                <w:sz w:val="21"/>
                <w:szCs w:val="21"/>
              </w:rPr>
            </w:pPr>
            <w:r/>
            <w:bookmarkStart w:id="0" w:name="_Hlk153460463"/>
            <w:r>
              <w:rPr>
                <w:rFonts w:ascii="Century Gothic" w:hAnsi="Century Gothic"/>
                <w:color w:val="ffffff"/>
                <w:sz w:val="21"/>
                <w:szCs w:val="21"/>
              </w:rPr>
              <w:t xml:space="preserve">AGENCE DU PERIGORD</w:t>
            </w:r>
            <w:r>
              <w:rPr>
                <w:rFonts w:ascii="Century Gothic" w:hAnsi="Century Gothic"/>
                <w:color w:val="ffffff"/>
                <w:sz w:val="21"/>
                <w:szCs w:val="21"/>
              </w:rPr>
              <w:br/>
              <w:t xml:space="preserve">1, Voie de la Vallée 24220 SAINT-CYPRIEN</w:t>
            </w:r>
            <w:r>
              <w:rPr>
                <w:rFonts w:ascii="Century Gothic" w:hAnsi="Century Gothic"/>
                <w:color w:val="ffffff"/>
                <w:sz w:val="21"/>
                <w:szCs w:val="21"/>
              </w:rPr>
              <w:br/>
              <w:t xml:space="preserve">Tél. 05 53 28 96 75</w:t>
            </w:r>
            <w:r>
              <w:rPr>
                <w:rFonts w:ascii="Century Gothic" w:hAnsi="Century Gothic"/>
                <w:color w:val="ffffff"/>
                <w:sz w:val="21"/>
                <w:szCs w:val="21"/>
              </w:rPr>
              <w:br/>
              <w:t xml:space="preserve">Email : agenceduperigord@gmail.com - </w:t>
            </w:r>
            <w:hyperlink r:id="rId18" w:tooltip="https://www.agence-du-perigord.com/" w:history="1">
              <w:r>
                <w:rPr>
                  <w:rStyle w:val="657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 xml:space="preserve">https://www.agence-du-perigord.com</w:t>
              </w:r>
            </w:hyperlink>
            <w:r/>
            <w:bookmarkEnd w:id="0"/>
            <w:r/>
          </w:p>
        </w:tc>
      </w:tr>
    </w:tbl>
    <w:p>
      <w:pPr>
        <w:jc w:val="left"/>
        <w:rPr>
          <w:rFonts w:ascii="Century Gothic" w:hAnsi="Century Gothic"/>
        </w:rPr>
      </w:pPr>
      <w:r>
        <w:rPr>
          <w:rFonts w:ascii="Century Gothic" w:hAnsi="Century Gothic"/>
        </w:rPr>
      </w:r>
      <w:r/>
    </w:p>
    <w:sectPr>
      <w:footnotePr/>
      <w:endnotePr/>
      <w:type w:val="nextPage"/>
      <w:pgSz w:w="11907" w:h="16840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Article %1."/>
      <w:lvlJc w:val="left"/>
      <w:pPr>
        <w:ind w:left="0" w:firstLine="0"/>
      </w:pPr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2"/>
    <w:next w:val="65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2"/>
    <w:next w:val="65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2"/>
    <w:next w:val="65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2"/>
    <w:next w:val="65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2"/>
    <w:next w:val="65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2"/>
    <w:next w:val="65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2"/>
    <w:next w:val="65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2"/>
    <w:next w:val="65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2"/>
    <w:next w:val="65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2"/>
    <w:next w:val="65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3"/>
    <w:link w:val="33"/>
    <w:uiPriority w:val="10"/>
    <w:rPr>
      <w:sz w:val="48"/>
      <w:szCs w:val="48"/>
    </w:rPr>
  </w:style>
  <w:style w:type="paragraph" w:styleId="35">
    <w:name w:val="Subtitle"/>
    <w:basedOn w:val="652"/>
    <w:next w:val="65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3"/>
    <w:link w:val="35"/>
    <w:uiPriority w:val="11"/>
    <w:rPr>
      <w:sz w:val="24"/>
      <w:szCs w:val="24"/>
    </w:rPr>
  </w:style>
  <w:style w:type="paragraph" w:styleId="37">
    <w:name w:val="Quote"/>
    <w:basedOn w:val="652"/>
    <w:next w:val="65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2"/>
    <w:next w:val="65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53"/>
    <w:link w:val="41"/>
    <w:uiPriority w:val="99"/>
  </w:style>
  <w:style w:type="paragraph" w:styleId="43">
    <w:name w:val="Footer"/>
    <w:basedOn w:val="65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53"/>
    <w:link w:val="43"/>
    <w:uiPriority w:val="99"/>
  </w:style>
  <w:style w:type="paragraph" w:styleId="45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3"/>
    <w:uiPriority w:val="99"/>
    <w:unhideWhenUsed/>
    <w:rPr>
      <w:vertAlign w:val="superscript"/>
    </w:rPr>
  </w:style>
  <w:style w:type="paragraph" w:styleId="177">
    <w:name w:val="endnote text"/>
    <w:basedOn w:val="65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3"/>
    <w:uiPriority w:val="99"/>
    <w:semiHidden/>
    <w:unhideWhenUsed/>
    <w:rPr>
      <w:vertAlign w:val="superscript"/>
    </w:rPr>
  </w:style>
  <w:style w:type="paragraph" w:styleId="180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  <w:rPr>
      <w:lang w:val="fr-FR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table" w:styleId="656">
    <w:name w:val="Table Grid"/>
    <w:basedOn w:val="6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7">
    <w:name w:val="Hyperlink"/>
    <w:basedOn w:val="653"/>
    <w:uiPriority w:val="99"/>
    <w:semiHidden/>
    <w:unhideWhenUsed/>
    <w:rPr>
      <w:color w:val="0000ff"/>
      <w:u w:val="single"/>
    </w:rPr>
  </w:style>
  <w:style w:type="character" w:styleId="658">
    <w:name w:val="Default Paragraph Font PHPDOCX"/>
    <w:uiPriority w:val="1"/>
    <w:semiHidden/>
    <w:unhideWhenUsed/>
  </w:style>
  <w:style w:type="paragraph" w:styleId="659">
    <w:name w:val="List Paragraph PHPDOCX"/>
    <w:basedOn w:val="652"/>
    <w:uiPriority w:val="34"/>
    <w:qFormat/>
    <w:pPr>
      <w:contextualSpacing/>
      <w:ind w:left="720"/>
    </w:pPr>
  </w:style>
  <w:style w:type="paragraph" w:styleId="660">
    <w:name w:val="Title PHPDOCX"/>
    <w:basedOn w:val="652"/>
    <w:next w:val="652"/>
    <w:link w:val="6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1" w:customStyle="1">
    <w:name w:val="Title Car PHPDOCX"/>
    <w:basedOn w:val="658"/>
    <w:link w:val="6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62">
    <w:name w:val="Subtitle PHPDOCX"/>
    <w:basedOn w:val="652"/>
    <w:next w:val="652"/>
    <w:link w:val="66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3" w:customStyle="1">
    <w:name w:val="Subtitle Car PHPDOCX"/>
    <w:basedOn w:val="658"/>
    <w:link w:val="6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6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6">
    <w:name w:val="annotation reference PHPDOCX"/>
    <w:basedOn w:val="658"/>
    <w:uiPriority w:val="99"/>
    <w:semiHidden/>
    <w:unhideWhenUsed/>
    <w:rPr>
      <w:sz w:val="16"/>
      <w:szCs w:val="16"/>
    </w:rPr>
  </w:style>
  <w:style w:type="paragraph" w:styleId="667">
    <w:name w:val="annotation text PHPDOCX"/>
    <w:basedOn w:val="652"/>
    <w:link w:val="6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8" w:customStyle="1">
    <w:name w:val="Comment Text Char PHPDOCX"/>
    <w:basedOn w:val="658"/>
    <w:link w:val="667"/>
    <w:uiPriority w:val="99"/>
    <w:semiHidden/>
    <w:rPr>
      <w:sz w:val="20"/>
      <w:szCs w:val="20"/>
    </w:rPr>
  </w:style>
  <w:style w:type="paragraph" w:styleId="669">
    <w:name w:val="annotation subject PHPDOCX"/>
    <w:basedOn w:val="667"/>
    <w:next w:val="667"/>
    <w:link w:val="670"/>
    <w:uiPriority w:val="99"/>
    <w:semiHidden/>
    <w:unhideWhenUsed/>
    <w:rPr>
      <w:b/>
      <w:bCs/>
    </w:rPr>
  </w:style>
  <w:style w:type="character" w:styleId="670" w:customStyle="1">
    <w:name w:val="Comment Subject Char PHPDOCX"/>
    <w:basedOn w:val="668"/>
    <w:link w:val="669"/>
    <w:uiPriority w:val="99"/>
    <w:semiHidden/>
    <w:rPr>
      <w:b/>
      <w:bCs/>
      <w:sz w:val="20"/>
      <w:szCs w:val="20"/>
    </w:rPr>
  </w:style>
  <w:style w:type="paragraph" w:styleId="671">
    <w:name w:val="Balloon Text PHPDOCX"/>
    <w:basedOn w:val="652"/>
    <w:link w:val="6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2" w:customStyle="1">
    <w:name w:val="Balloon Text Char PHPDOCX"/>
    <w:basedOn w:val="658"/>
    <w:link w:val="671"/>
    <w:uiPriority w:val="99"/>
    <w:semiHidden/>
    <w:rPr>
      <w:rFonts w:ascii="Tahoma" w:hAnsi="Tahoma" w:cs="Tahoma"/>
      <w:sz w:val="16"/>
      <w:szCs w:val="16"/>
    </w:rPr>
  </w:style>
  <w:style w:type="paragraph" w:styleId="673">
    <w:name w:val="footnote Text PHPDOCX"/>
    <w:basedOn w:val="652"/>
    <w:link w:val="6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4" w:customStyle="1">
    <w:name w:val="footnote Text Car PHPDOCX"/>
    <w:basedOn w:val="658"/>
    <w:link w:val="673"/>
    <w:uiPriority w:val="99"/>
    <w:semiHidden/>
    <w:rPr>
      <w:sz w:val="20"/>
      <w:szCs w:val="20"/>
    </w:rPr>
  </w:style>
  <w:style w:type="character" w:styleId="675">
    <w:name w:val="footnote Reference PHPDOCX"/>
    <w:basedOn w:val="658"/>
    <w:uiPriority w:val="99"/>
    <w:semiHidden/>
    <w:unhideWhenUsed/>
    <w:rPr>
      <w:vertAlign w:val="superscript"/>
    </w:rPr>
  </w:style>
  <w:style w:type="paragraph" w:styleId="676">
    <w:name w:val="endnote Text PHPDOCX"/>
    <w:basedOn w:val="652"/>
    <w:link w:val="6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7" w:customStyle="1">
    <w:name w:val="endnote Text Car PHPDOCX"/>
    <w:basedOn w:val="658"/>
    <w:link w:val="676"/>
    <w:uiPriority w:val="99"/>
    <w:semiHidden/>
    <w:rPr>
      <w:sz w:val="20"/>
      <w:szCs w:val="20"/>
    </w:rPr>
  </w:style>
  <w:style w:type="character" w:styleId="678">
    <w:name w:val="endnote Reference PHPDOCX"/>
    <w:basedOn w:val="65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hyperlink" Target="https://www.agence-du-perigord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cortiem</cp:lastModifiedBy>
  <cp:revision>11</cp:revision>
  <dcterms:created xsi:type="dcterms:W3CDTF">2023-12-14T11:02:00Z</dcterms:created>
  <dcterms:modified xsi:type="dcterms:W3CDTF">2024-01-23T10:37:52Z</dcterms:modified>
</cp:coreProperties>
</file>