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1" name="Picture 1" descr="https://gildc.activimmo.ovh/pic/564x376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2" name="Picture 1" descr="https://gildc.activimmo.ovh/pic/180x120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2210p146617a9bb673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210p146617a9bb673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9145"/>
        </w:trPr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24510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Une belle longère aux pierres blondes, une grande grange en bon état, sur h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auteur avec vue dégagée, à env 5km du Bugue avec qui plus est 1 ha de terrain, c'est ce qui vous attend avec cet ensemble traditionnel du Perigord d'env actuellement 80m2 hab avec Cuisine, Bureau, chaufferie, Salon, 2 chambres, Salle d'eau, wc. Terrasse en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façade et grenier aménageable (escalier à créer).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largement. la présence d'un puits n'est pas négligeable !</w:t>
                    <w:br/>
                    <w:t xml:space="preserve">De belles balades sur le secteur à découvrir et de beaux points de vue.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318 000 €</w:t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20"/>
                    </w:rPr>
                    <w:t xml:space="preserve">                                Honoraires à charge de l'acquéreur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20"/>
                    </w:rPr>
                    <w:t xml:space="preserve"> Prix honoraires exclu :  300 000 €</w:t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28"/>
                      <w:szCs w:val="2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sz w:val="28"/>
                      <w:szCs w:val="28"/>
                    </w:rPr>
                    <w:t xml:space="preserve"> AP2634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85887" cy="1227500"/>
                            <wp:effectExtent l="0" t="0" r="0" b="0"/>
                            <wp:docPr id="5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6283717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385887" cy="122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09.1pt;height:96.7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11,000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206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6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ind w:left="37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ind w:left="37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2"/>
                    </w:rPr>
                    <w:t xml:space="preserve"> </w:t>
                  </w:r>
                  <w:r/>
                </w:p>
                <w:p>
                  <w:pPr>
                    <w:ind w:left="37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</w:rPr>
                    <w:t xml:space="preserve">Montant bas supposé et théorique des dépenses énergétiques: 1780 € </w:t>
                  </w:r>
                  <w:r/>
                </w:p>
                <w:p>
                  <w:pPr>
                    <w:ind w:left="37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2"/>
                    </w:rPr>
                    <w:t xml:space="preserve"> 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 w:cs="Century Gothic"/>
                      <w:color w:val="000000"/>
                      <w:sz w:val="16"/>
                    </w:rPr>
                    <w:t xml:space="preserve">Montant haut supposé et théorique des dépenses énergétiques: 2470 €</w:t>
                  </w:r>
                  <w:r/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PERIGORD NOIR IMMOBILIER 19 Rue de Paris 24260 LE BUGUE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05.53.13.26.86 -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2024-04-12T14:22:17Z</dcterms:modified>
</cp:coreProperties>
</file>