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76065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076064" cy="1904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20.9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Maison Ancienne de 91m2 à proximité des Commerces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CASTELS ET BEZENAC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129 600 €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AP2633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2205p86613b96551d6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2205p86613b96551d6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76796773cfbb3064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79486773cfbb3064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97556773cfbb306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91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69246773cfbb306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  <w:t xml:space="preserve">Découvrez cette maison ancienne de 91m2, offrant ainsi un accès facile aux commodités locales. Avec trois chambres spacieuses, cette demeure est parfaite pour accueillir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 une famille. Vous apprécierez les trois moyens de chauffage disponibles : le fuel, la climatisation réversible et une cheminée en activité, garantissant confort et chaleur tout au long de l'année.</w:t>
                    <w:br/>
                    <w:br/>
                    <w:t xml:space="preserve">Le salon lumineux et une cuisine indépendante avec accès 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direct à la terrasse. Au rez-de-rue, un vaste garage de 80m2, équipé d'anciennes toilettes et d'une douche, offre un espace de stationnement généreux ainsi que des possibilités d'aménagement supplémentaires. De plus, une pièce indépendante située sous la t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errasse peut être aménagée en bureau ou en espace de stockage.  Possibilité d'acquérir une partie de terrain à proximité immédiate.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Ancienne</w:t>
                    <w:br/>
                    <w:t xml:space="preserve">Année constr.:  1948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A rafraîchir</w:t>
                    <w:br/>
                    <w:t xml:space="preserve">Surf. habitable:  91 m²</w:t>
                    <w:br/>
                    <w:t xml:space="preserve">Terrasse:  80 m²</w:t>
                    <w:br/>
                    <w:t xml:space="preserve">Hameau / Village</w:t>
                    <w:br/>
                    <w:t xml:space="preserve">Exposition:  S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3 Chambres</w:t>
                    <w:br/>
                    <w:t xml:space="preserve">1 Salle d'eau</w:t>
                    <w:br/>
                    <w:t xml:space="preserve">5 Pièces</w:t>
                    <w:br/>
                    <w:t xml:space="preserve">1 Garage</w:t>
                    <w:br/>
                    <w:t xml:space="preserve">Chauffage:  Bois et Fuel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SITUATION DU BIEN:</w:t>
                    <w:br/>
                    <w:t xml:space="preserve"> - Village </w:t>
                    <w:br/>
                    <w:br/>
                    <w:t xml:space="preserve">1ER ÉTAGE:</w:t>
                    <w:br/>
                    <w:t xml:space="preserve"> - 3 Chambres 10,40 m2 - 13,48 m2 et 10,00 m2.</w:t>
                    <w:br/>
                    <w:t xml:space="preserve"> - Cuisine in</w:t>
                  </w:r>
                  <w:r>
                    <w:rPr>
                      <w:rFonts w:cs="Arial"/>
                    </w:rPr>
                    <w:t xml:space="preserve">dépendante non équipée de 11,20 m2.</w:t>
                    <w:br/>
                    <w:t xml:space="preserve"> - Hall d'entrée 6,16 m2.</w:t>
                    <w:br/>
                    <w:t xml:space="preserve"> - Salle d'eau 4,80 m2.</w:t>
                    <w:br/>
                    <w:t xml:space="preserve"> - Salon 28,82 m2.</w:t>
                    <w:br/>
                    <w:t xml:space="preserve"> - WC 2,30 m2.</w:t>
                    <w:br/>
                    <w:br/>
                    <w:t xml:space="preserve">DPE:</w:t>
                    <w:br/>
                    <w:t xml:space="preserve"> - Consommation énergétique (en énergie primaire): 265 KWHep/m²an E</w:t>
                    <w:br/>
                    <w:t xml:space="preserve"> - Emission de gaz à effet de serre: 40 Kgco2/m²an D</w:t>
                    <w:br/>
                    <w:t xml:space="preserve"> - Année </w:t>
                  </w:r>
                  <w:r>
                    <w:rPr>
                      <w:rFonts w:cs="Arial"/>
                    </w:rPr>
                    <w:t xml:space="preserve">de référence utilisée pour établir la simulation des dépenses annuelles 2021</w:t>
                    <w:br/>
                    <w:t xml:space="preserve"> - Date de réalisation DPE 12/01/2023</w:t>
                    <w:br/>
                    <w:t xml:space="preserve"> - Montant bas supposé et théorique des dépenses énergétiques: 1686 €</w:t>
                    <w:br/>
                    <w:t xml:space="preserve"> - Montant haut supposé et théorique des dépenses énergétiques: 2280 €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CHAUFFAGE:</w:t>
                    <w:br/>
                    <w:t xml:space="preserve"> - bois </w:t>
                    <w:br/>
                    <w:t xml:space="preserve"> - CC Fuel </w:t>
                    <w:br/>
                    <w:t xml:space="preserve"> - Climatisation réversible </w:t>
                    <w:br/>
                    <w:br/>
                    <w:t xml:space="preserve">EQUIPEMENTS DIVERS:</w:t>
                    <w:br/>
                    <w:t xml:space="preserve"> -  Simple vitrage</w:t>
                    <w:br/>
                    <w:br/>
                    <w:t xml:space="preserve">FENÊTRES:</w:t>
                    <w:br/>
                    <w:t xml:space="preserve"> - Bois </w:t>
                    <w:br/>
                    <w:t xml:space="preserve"> - Simple vitrage </w:t>
                    <w:br/>
                    <w:br/>
                    <w:t xml:space="preserve">SERVICES:</w:t>
                    <w:br/>
                  </w:r>
                  <w:r>
                    <w:rPr>
                      <w:rFonts w:cs="Arial"/>
                    </w:rPr>
                    <w:t xml:space="preserve"> - Ville la plus proche : SAINT-CYPRIEN</w:t>
                    <w:br/>
                    <w:t xml:space="preserve"> - Commerces à proximité (1 minute en voiture)</w:t>
                    <w:br/>
                    <w:t xml:space="preserve"> - Ecole à proximité</w:t>
                    <w:br/>
                    <w:t xml:space="preserve"> - Gare à 2 minutes en voiture</w:t>
                    <w:br/>
                    <w:br/>
                    <w:t xml:space="preserve">SOUS SOL:</w:t>
                    <w:br/>
                    <w:t xml:space="preserve"> - 2 Bureaux 35 m2 l'ensemble.</w:t>
                    <w:br/>
                    <w:t xml:space="preserve"> - Garage 93 m2 dont chaufferie.</w:t>
                    <w:br/>
                    <w:t xml:space="preserve"> - WC et une douche.</w:t>
                    <w:br/>
                    <w:br/>
                    <w:t xml:space="preserve">TOITURE:</w:t>
                    <w:br/>
                    <w:t xml:space="preserve"> - Tuiles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E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D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265&amp;ges=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65&amp;ges=40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0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Date de réalisation DPE 12/01/2023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Montant bas supposé et théorique des dépenses énergétiques: 1686 €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Montant haut supposé et théorique des dépenses énergétiques: 2280 €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2205p16613b96135a8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05p16613b96135a8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2205p26613b961c37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05p26613b961c371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2205p46613b9625f0f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05p46613b9625f0f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2205p56613b962ee7a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05p56613b962ee7a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2205p76613b96392f0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05p76613b96392f0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2205p66613b9642c4c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05p66613b9642c4c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2205p36613b964b86e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05p36613b964b86e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6" name="Picture 1" descr="https://qrcode.kaywa.com/img.php?s=3&amp;d=https%3A%2F%2Fwww.agenceduperigord.fr%2Findex.php%3Faction%3Ddetail%26nbien%3D6502205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2205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1, Voie de la Vallée -24220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SAINT-CYPRIEN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 53 28 96 75 - agenceduperigord@gmail.com - www.agenceduperigord.fr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17</cp:revision>
  <dcterms:created xsi:type="dcterms:W3CDTF">2024-01-11T11:56:00Z</dcterms:created>
  <dcterms:modified xsi:type="dcterms:W3CDTF">2024-12-31T11:04:37Z</dcterms:modified>
</cp:coreProperties>
</file>