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5627" cy="124398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92439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405626" cy="1243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0.7pt;height:98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0963p36454be1da38f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963p36454be1da38f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963p106454be1a611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963p106454be1a611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963p56454be2e5a8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963p56454be2e5a83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963p266464dfd27df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963p266464dfd27dfd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0963p116454be1f011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963p116454be1f0115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AP2528 -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SAINT CHAMASSY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5 minutes des commerces du Bugue, bien située sur hauteur avec belle Vue, au milieu de son terrain, Périgordine en pierres rénovée, 277m2 hab, comprenant : Entrée, cuisine aménagée, Arrières cuisines, Chaufferie, Buanderie, Véranda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à usage de Séjour, Bureau, Salle à  manger, salon,  4 chambres et salles de bains, dont un studio indépendant, Grande pièce/Veranda de plus de 100m2 en façade, carport 3/4 places, salle de jeux, atelier, Pool house, jacuzzi, Serre, Petit Bassin et Piscine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bien exposée. Entourée d'un terrain plat paysager et arboré, entièrement clos avec portail électrique. Bon classement énergétique.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703 500 €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670 000 €</w:t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97&amp;ges=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97&amp;ges=4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16/05/2023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4004 €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5416 €</w:t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13 26 86 -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2023-11-21T09:14:15Z</dcterms:modified>
</cp:coreProperties>
</file>