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67785" cy="1589500"/>
                <wp:effectExtent l="0" t="0" r="0" b="0"/>
                <wp:docPr id="1" name="Picture 1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867784" cy="158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4.6pt;height:12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498807p30619e47384e0b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498807p30619e47384e0b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498807p42619e44a7c084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807p42619e44a7c084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498807p40619e44a6aff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807p40619e44a6aff4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498807p37619e4741117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807p37619e4741117a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498807p47619e4750a6c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807p47619e4750a6c2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AP2345 -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Cette jolie maison rénovée récemment se situe dans un quartier résident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iel à quelques minutes du village, de ces commerces et commodités. Le niveau de plain pied comporte deux chambres, avec une salle d'eau, un salon et une salle à manger, ainsi qu'une cuisine indépendante, grande terrasse sur l'arrière. Vous profiterez du ca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lme depuis son jardin impeccable (3183 m2) et sa deuxième terrasse au sud. Grand garage et chaufferie/buanderie.  Abri de jardin.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256 800 €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240 000 €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301&amp;ges=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1&amp;ges=8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28/06/2022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2023-11-28T16:21:57Z</dcterms:modified>
</cp:coreProperties>
</file>