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8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>
              <w:rPr>
                <w:rFonts w:ascii="Century Gothic" w:hAnsi="Century Gothic" w:eastAsia="Century Gothic"/>
                <w:sz w:val="1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58755" cy="145875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40974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58755" cy="1458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4.9pt;height:114.9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499579p5662b1b7e7340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499579p5662b1b7e73402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499579p37628e471ab31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499579p37628e471ab311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499579p4628e46d39117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499579p4628e46d39117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499579p13628e46ecc3f9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499579p13628e46ecc3f9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24620 Région LES EYZIES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L'atout principal pour cet ancien corps de ferme est le calme et la sérénité des lieux.La maison principale offre au rez-de-chaussée : un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 cuisine, une salle de bain avec toilette et un séjour salon. Au premier étage trois chambres. Dépendances : une chambre indépendante, un atelier, anciennes porcheries et une grange aménageable avec toiture et charpente neuves.</w:t>
                    <w:br/>
                    <w:t xml:space="preserve">Chauffage central au gaz. P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iscine 6x13 avec jolie vue dégagée.</w:t>
                    <w:br/>
                    <w:t xml:space="preserve">Chiffre d'affaires intéressant pour la location saisonnière. A moins de 10 minutes des Eyzies.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499 000 €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AP2400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142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17,390 m²</w:t>
                        </w:r>
                        <w:r/>
                      </w:p>
                    </w:tc>
                  </w:tr>
                </w:tbl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10" name="Picture 1" descr="https://files.activimmo.com/storage/etiquettes/photo/dpe/dpe-energie-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11" name="Picture 1" descr="https://files.activimmo.com/storage/etiquettes/photo/dpe/dpe-ges-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668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6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19</cp:revision>
  <dcterms:created xsi:type="dcterms:W3CDTF">2023-03-29T11:33:00Z</dcterms:created>
  <dcterms:modified xsi:type="dcterms:W3CDTF">2024-01-03T09:35:31Z</dcterms:modified>
</cp:coreProperties>
</file>