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1070</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Poillion David</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457 route de écuries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24170 BELVES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457 route de écuries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24170 BELVES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et dépendances équestres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AK n°291, 133, 248, 116, 288, 122, 115, 121.</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DEP0955</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400 000 €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24 000 € TTC soit 6,00% </w:t>
      </w:r>
    </w:p>
    <w:p>
      <w:pPr>
        <w:pStyle w:val="Normal"/>
      </w:pPr>
      <w:r>
        <w:rPr>
          <w:rFonts w:ascii="Garamond" w:hAnsi="Garamond" w:eastAsia="Garamond"/>
          <w:b w:val="on"/>
          <w:sz w:val="22"/>
          <w:shd w:val="clear" w:fill="C0C0C0"/>
        </w:rPr>
        <w:t xml:space="preserve">Soit un prix affiché Honoraires d'agences inclus de 424 000 €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Belvès                                                                         </w:t>
      </w:r>
      <w:r>
        <w:rPr>
          <w:rFonts w:ascii="Garamond" w:hAnsi="Garamond" w:eastAsia="Garamond"/>
          <w:b w:val="on"/>
          <w:sz w:val="24"/>
        </w:rPr>
        <w:t xml:space="preserve">  Le  </w:t>
      </w:r>
      <w:r>
        <w:rPr>
          <w:rFonts w:ascii="Garamond" w:hAnsi="Garamond" w:eastAsia="Garamond"/>
          <w:b w:val="on"/>
          <w:sz w:val="24"/>
          <w:shd w:val="clear" w:fill="C0C0C0"/>
        </w:rPr>
        <w:t xml:space="preserve">         21 janvier 2025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Poillion David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457 route de écuries   -   24170 BELVES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Poillion   David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24 000 €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rPr>
        <w:t xml:space="preserve">Le  </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3</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