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N°1069</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REYNAL Emilien, REYNAL Nancy, REYNAL Knox</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Lassablière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24620 MANAURIE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Lassablière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24620 MANAURIE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Ancienne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AE n°261, 96, 262, 94, 263, 95, 88, 87, 89, 90, 91, 92, 86.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DEP0946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Les Eyzies                                                                        </w:t>
      </w:r>
      <w:r>
        <w:rPr>
          <w:rFonts w:ascii="Garamond" w:hAnsi="Garamond" w:eastAsia="Garamond"/>
          <w:b w:val="on"/>
          <w:sz w:val="24"/>
        </w:rPr>
        <w:t xml:space="preserve">  Le  </w:t>
      </w:r>
      <w:r>
        <w:rPr>
          <w:rFonts w:ascii="Garamond" w:hAnsi="Garamond" w:eastAsia="Garamond"/>
          <w:b w:val="on"/>
          <w:sz w:val="24"/>
          <w:shd w:val="clear" w:fill="C0C0C0"/>
        </w:rPr>
        <w:t xml:space="preserve">         17 janvier 2025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REYNAL  Emilien, REYNAL Nancy, REYNAL Knox</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Lassablière   -   24620  MANAURIE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REYNAL  Emilien , REYNAL Nancy, REYNAL Knox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5,66% TTC soit 24 000 €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Les Eyzies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17 janvier 2025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5</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