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eastAsia="Times New Roman"/>
          <w:b w:val="on"/>
          <w:color w:val="0000FF"/>
          <w:sz w:val="4"/>
        </w:rPr>
      </w:pPr>
    </w:p>
    <w:p>
      <w:pPr>
        <w:pStyle w:val="[Normal]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058"/>
        <w:gridCol w:w="3225"/>
        <w:gridCol w:w="5487"/>
      </w:tblGrid>
      <w:tr>
        <w:trPr>
          <w:cantSplit/>
        </w:trPr>
        <w:tc>
          <w:tcPr>
            <w:tcW w:w="10770" w:type="dxa"/>
            <w:gridSpan w:val="3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32"/>
              </w:rPr>
              <w:t xml:space="preserve">Colocation 4 chambres - dite "Le Perchoir"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28"/>
              </w:rPr>
              <w:t xml:space="preserve">45 rue des Roses 24750 Trélissac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</w:rPr>
            </w:pPr>
            <w:r>
              <w:rPr>
                <w:rFonts w:ascii="Garamond" w:hAnsi="Garamond" w:eastAsia="Garamond"/>
                <w:b w:val="on"/>
                <w:color w:val="004389"/>
              </w:rPr>
              <w:t xml:space="preserve">Maison meublée avec 4 chambres. Vue sur la cathédrale. Jardin.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28"/>
              </w:rPr>
              <w:t xml:space="preserve">Prix : 1440 € / mois toutes charges comprises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28"/>
              </w:rPr>
              <w:t xml:space="preserve">(EDF, eau, chauffage, internet)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28"/>
              </w:rPr>
              <w:t xml:space="preserve">Si intéressé : contactez Isabelle Bureau - 06.84.77.42.17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</w:p>
        </w:tc>
      </w:tr>
    </w:tbl>
    <w:p>
      <w:pPr>
        <w:pStyle w:val="[Normal]"/>
        <w:jc w:val="center"/>
        <w:rPr>
          <w:sz w:val="4"/>
        </w:rPr>
      </w:pPr>
    </w:p>
    <w:tbl>
      <w:tblPr>
        <w:tblW w:w="0" w:type="auto"/>
        <w:jc w:val="left"/>
        <w:tblInd w:w="33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5"/>
        <w:gridCol w:w="8040"/>
      </w:tblGrid>
      <w:tr>
        <w:trPr>
          <w:cantSplit/>
        </w:trPr>
        <w:tc>
          <w:tcPr>
            <w:tcW w:w="2715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color w:val="FFFFFF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u w:val="single"/>
                <w:shd w:val="clear" w:fill="004389"/>
              </w:rPr>
              <w:t xml:space="preserve">Détails</w:t>
            </w:r>
          </w:p>
        </w:tc>
        <w:tc>
          <w:tcPr>
            <w:tcW w:w="8040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  <w:t xml:space="preserve">Région PERIGUEUX</w:t>
            </w:r>
          </w:p>
        </w:tc>
      </w:tr>
      <w:tr>
        <w:tc>
          <w:tcPr>
            <w:tcW w:w="2715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"/>
              </w:rPr>
            </w:pPr>
          </w:p>
          <w:p>
            <w:pPr>
              <w:pStyle w:val="Type de détail"/>
            </w:pP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avec deuxième frigo : 9m².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pour stocker les vélos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Terrasse.</w:t>
            </w:r>
          </w:p>
          <w:p>
            <w:pPr>
              <w:pStyle w:val="Type de détail"/>
            </w:pP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Bureau : 9 m².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toute équipée avec lave-vaisselle : 9m², avec une terrasse d'environ 11m².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: 10m².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Salon / salle à manger : 22m² avec accès à une terrasse en bois d'environ 8m² - vue sur le centre ville de Périgueux.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Terrasses d'environ 8m² et 11m².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WC.</w:t>
            </w:r>
          </w:p>
          <w:p>
            <w:pPr>
              <w:pStyle w:val="Type de détail"/>
            </w:pP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4 Chambres : 12m², 10m², 10m² et 10m² avec placards aménagés.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 avec placard.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avec douche à l'italienne et wc.</w:t>
            </w:r>
          </w:p>
          <w:p>
            <w:pPr>
              <w:pStyle w:val="Type de détail"/>
            </w:pP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Gaz.</w:t>
            </w:r>
          </w:p>
          <w:p>
            <w:pPr>
              <w:pStyle w:val="Type de détail"/>
            </w:pP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Jardin.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Terrasse.</w:t>
            </w:r>
          </w:p>
          <w:p>
            <w:pPr>
              <w:pStyle w:val="Type de détail"/>
            </w:pP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Dégagée</w:t>
            </w:r>
          </w:p>
        </w:tc>
        <w:tc>
          <w:tcPr>
            <w:tcW w:w="8040" w:type="dxa"/>
            <w:shd w:val="clear" w:fill="auto"/>
            <w:vAlign w:val="center"/>
          </w:tcPr>
          <w:tbl>
            <w:tblPr>
              <w:tblW w:w="0" w:type="auto"/>
              <w:jc w:val="left"/>
              <w:tblInd w:w="27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10"/>
            </w:tblGrid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drawing>
                      <wp:inline distT="0" distB="0" distL="0" distR="0">
                        <wp:extent cx="4486275" cy="2987675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6275" cy="298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550"/>
                    <w:gridCol w:w="2550"/>
                    <w:gridCol w:w="2550"/>
                  </w:tblGrid>
                  <w:tr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93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9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932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9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6780"/>
                              <wp:docPr id="4" name="_tx_id_4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0000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67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/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Proche de l'hôpital : 10 minutes à pied - 3 minutes en voiture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Centre-ville de Périgueux : environ 25 minutes à pied - 7 minutes en voiture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Premier supermarché : 12 minutes à pied - 3 minutes en voiture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Dans un quartier très calme, avec accès aux transports et vue sur la cathédrale Saint Front. Box internet fibre. 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Parking gratuit en face de la maison + point d'apport volaontaire (ordures ménagères, emballage et verre)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Jardin à l'arrière de la maison avec terrasse et possibilité de potager.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</w:p>
              </w:tc>
            </w:tr>
            <w:tr>
              <w:tc>
                <w:tcPr>
                  <w:tcW w:w="771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255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535"/>
              <w:gridCol w:w="4190"/>
            </w:tblGrid>
            <w:tr>
              <w:tc>
                <w:tcPr>
                  <w:tcW w:w="353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sz w:val="20"/>
                      <w:u w:val="single"/>
                    </w:rPr>
                    <w:t xml:space="preserve">Surface habitable</w:t>
                  </w:r>
                  <w:r>
                    <w:rPr>
                      <w:rFonts w:ascii="Garamond" w:hAnsi="Garamond" w:eastAsia="Garamond"/>
                      <w:sz w:val="20"/>
                    </w:rPr>
                    <w:t xml:space="preserve"> : environ 100 m²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terrain</w:t>
                  </w:r>
                  <w:r>
                    <w:rPr>
                      <w:rFonts w:ascii="Garamond" w:hAnsi="Garamond" w:eastAsia="Garamond"/>
                    </w:rPr>
                    <w:t xml:space="preserve"> : 270  m²</w:t>
                  </w:r>
                </w:p>
              </w:tc>
              <w:tc>
                <w:tcPr>
                  <w:tcW w:w="419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Nombre de chambres</w:t>
                  </w:r>
                  <w:r>
                    <w:rPr>
                      <w:rFonts w:ascii="Garamond" w:hAnsi="Garamond" w:eastAsia="Garamond"/>
                    </w:rPr>
                    <w:t xml:space="preserve"> : 4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du séjour</w:t>
                  </w:r>
                  <w:r>
                    <w:rPr>
                      <w:rFonts w:ascii="Garamond" w:hAnsi="Garamond" w:eastAsia="Garamond"/>
                    </w:rPr>
                    <w:t xml:space="preserve"> : 22 m²</w:t>
                  </w: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sz w:val="4"/>
                    </w:rPr>
                  </w:pP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Etat</w:t>
                  </w:r>
                  <w:r>
                    <w:rPr>
                      <w:rFonts w:ascii="Garamond" w:hAnsi="Garamond" w:eastAsia="Garamond"/>
                    </w:rPr>
                    <w:t xml:space="preserve"> : Bon	</w:t>
                  </w: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Année de construction</w:t>
                  </w:r>
                  <w:r>
                    <w:rPr>
                      <w:rFonts w:ascii="Garamond" w:hAnsi="Garamond" w:eastAsia="Garamond"/>
                    </w:rPr>
                    <w:t xml:space="preserve"> :1955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sz w:val="10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drawing>
                      <wp:inline distT="0" distB="0" distL="0" distR="0">
                        <wp:extent cx="981075" cy="89535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b w:val="on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Style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: </w:t>
                  </w:r>
                  <w:r>
                    <w:rPr>
                      <w:rFonts w:ascii="Garamond" w:hAnsi="Garamond" w:eastAsia="Garamond"/>
                    </w:rPr>
                    <w:t xml:space="preserve">Traditionnel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   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Taxe Foncière 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:</w:t>
                  </w:r>
                  <w:r>
                    <w:rPr>
                      <w:rFonts w:ascii="Garamond" w:hAnsi="Garamond" w:eastAsia="Garamond"/>
                    </w:rPr>
                    <w:t xml:space="preserve">1 330 €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sz w:val="10"/>
                      <w:u w:val="single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u w:val="single"/>
                    </w:rPr>
                  </w:pPr>
                  <w:r>
                    <w:drawing>
                      <wp:inline distT="0" distB="0" distL="0" distR="0">
                        <wp:extent cx="981075" cy="89979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9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rPr>
          <w:rFonts w:ascii="Garamond" w:hAnsi="Garamond" w:eastAsia="Garamond"/>
          <w:b w:val="on"/>
          <w:sz w:val="20"/>
          <w:u w:val="single"/>
        </w:rPr>
      </w:pPr>
    </w:p>
    <w:sectPr>
      <w:headerReference w:type="default" r:id="rId00011"/>
      <w:footerReference w:type="default" r:id="rId00012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1" Type="http://schemas.openxmlformats.org/officeDocument/2006/relationships/header" Target="header0001.xml"/>
	<Relationship Id="rId00012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3" Type="http://schemas.openxmlformats.org/officeDocument/2006/relationships/numbering" Target="numbering.xml"/>
	<Relationship Id="rId00014" Type="http://schemas.openxmlformats.org/officeDocument/2006/relationships/fontTable" Target="fontTable.xml"/>
	<Relationship Id="rId00015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