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sz w:val="4"/>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073"/>
        <w:gridCol w:w="7050"/>
        <w:gridCol w:w="1665"/>
      </w:tblGrid>
      <w:tr>
        <w:tc>
          <w:tcPr>
            <w:tcW w:w="207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tc>
        <w:tc>
          <w:tcPr>
            <w:tcW w:w="7050"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             </w:t>
            </w:r>
          </w:p>
          <w:p>
            <w:pPr>
              <w:pStyle w:val="[Normal]"/>
              <w:jc w:val="center"/>
              <w:rPr>
                <w:rFonts w:ascii="Garamond" w:hAnsi="Garamond" w:eastAsia="Garamond"/>
                <w:sz w:val="10"/>
              </w:rPr>
            </w:pPr>
          </w:p>
          <w:p>
            <w:pPr>
              <w:pStyle w:val="[Normal]"/>
              <w:jc w:val="center"/>
              <w:rPr>
                <w:sz w:val="12"/>
              </w:rPr>
            </w:pPr>
            <w:r>
              <w:rPr>
                <w:rFonts w:ascii="Garamond" w:hAnsi="Garamond" w:eastAsia="Garamond"/>
                <w:sz w:val="28"/>
              </w:rPr>
              <w:t xml:space="preserve">05 53 06 97 44                        </w:t>
            </w:r>
          </w:p>
          <w:p>
            <w:pPr>
              <w:pStyle w:val="[Normal]"/>
              <w:jc w:val="center"/>
              <w:rPr>
                <w:sz w:val="16"/>
              </w:rPr>
            </w:pPr>
            <w:r>
              <w:rPr>
                <w:rFonts w:ascii="Garamond" w:hAnsi="Garamond" w:eastAsia="Garamond"/>
                <w:sz w:val="32"/>
              </w:rPr>
              <w:t xml:space="preserve">dperigord@orange.fr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sz w:val="32"/>
              </w:rPr>
            </w:pPr>
            <w:r>
              <w:rPr>
                <w:rFonts w:ascii="Garamond" w:hAnsi="Garamond" w:eastAsia="Garamond"/>
                <w:b w:val="on"/>
                <w:sz w:val="32"/>
              </w:rPr>
              <w:t xml:space="preserve">www.demeuresenperigord.com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rPr>
              <w:t xml:space="preserve">TOUTES TRANSACTIONS IMMOBILIERES                 </w:t>
            </w:r>
          </w:p>
        </w:tc>
        <w:tc>
          <w:tcPr>
            <w:tcW w:w="166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anchor distT="0" distB="0" distL="0" distR="0" simplePos="0" relativeHeight="1000000" behindDoc="0" locked="0" layoutInCell="1" allowOverlap="1" hidden="false">
                  <wp:simplePos x="0" y="0"/>
                  <wp:positionH relativeFrom="column">
                    <wp:posOffset>72390</wp:posOffset>
                  </wp:positionH>
                  <wp:positionV relativeFrom="paragraph">
                    <wp:posOffset>128270</wp:posOffset>
                  </wp:positionV>
                  <wp:extent cx="796925" cy="905510"/>
                  <wp:wrapSquare wrapText="bothSides"/>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796925" cy="905510"/>
                          </a:xfrm>
                          <a:prstGeom prst="rect">
                            <a:avLst/>
                          </a:prstGeom>
                        </pic:spPr>
                      </pic:pic>
                    </a:graphicData>
                  </a:graphic>
                </wp:anchor>
              </w:drawing>
            </w:r>
          </w:p>
        </w:tc>
      </w:tr>
      <w:tr>
        <w:tc>
          <w:tcPr>
            <w:tcW w:w="10788"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sz w:val="16"/>
              </w:rPr>
            </w:pPr>
            <w:r>
              <w:rPr>
                <w:rFonts w:ascii="Times New Roman" w:hAnsi="Times New Roman" w:eastAsia="Times New Roman"/>
                <w:sz w:val="16"/>
              </w:rPr>
              <w:t xml:space="preserve">SAS Demeures en Périgord - Siège social : 23 avenue de la Préhistoire - 24620 Les Eyzies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Times New Roman" w:hAnsi="Times New Roman" w:eastAsia="Times New Roman"/>
                <w:sz w:val="16"/>
              </w:rPr>
              <w:t xml:space="preserve">R.C.S. Bergerac - Carte professionnelle n° </w:t>
            </w:r>
            <w:r>
              <w:rPr>
                <w:rFonts w:ascii="Garamond" w:hAnsi="Garamond" w:eastAsia="Garamond"/>
                <w:sz w:val="16"/>
              </w:rPr>
              <w:t xml:space="preserve">CPI 2402 2018 000 024 518</w:t>
            </w:r>
            <w:r>
              <w:rPr>
                <w:rFonts w:ascii="Times New Roman" w:hAnsi="Times New Roman" w:eastAsia="Times New Roman"/>
                <w:sz w:val="10"/>
              </w:rPr>
              <w:t xml:space="preserve"> </w:t>
            </w:r>
            <w:r>
              <w:rPr>
                <w:rFonts w:ascii="Times New Roman" w:hAnsi="Times New Roman" w:eastAsia="Times New Roman"/>
                <w:sz w:val="16"/>
              </w:rPr>
              <w:t xml:space="preserve">délivrée par la CCI Dordogne - Siret 801 169 871 00010 - N°TVA : FR72 801 169 871</w:t>
            </w:r>
          </w:p>
        </w:tc>
      </w:tr>
    </w:tbl>
    <w:p>
      <w:pPr>
        <w:pStyle w:val="[Normal]"/>
        <w:rPr>
          <w:sz w:val="12"/>
        </w:rPr>
      </w:pPr>
    </w:p>
    <w:tbl>
      <w:tblPr>
        <w:tblW w:w="0" w:type="auto"/>
        <w:jc w:val="left"/>
        <w:tblInd w:w="40" w:type="dxa"/>
        <w:tblBorders>
          <w:top w:val="single" w:sz="4" w:space="0" w:color="auto"/>
          <w:left w:val="single" w:sz="4" w:space="0" w:color="auto"/>
          <w:bottom w:val="single" w:sz="4" w:space="0" w:color="auto"/>
          <w:right w:val="single" w:sz="4" w:space="0" w:color="auto"/>
          <w:insideH w:val="none"/>
          <w:insideV w:val="single" w:sz="4" w:space="0" w:color="auto"/>
        </w:tblBorders>
        <w:tblLayout w:type="fixed"/>
        <w:tblCellMar>
          <w:top w:w="0" w:type="dxa"/>
          <w:left w:w="40" w:type="dxa"/>
          <w:bottom w:w="0" w:type="dxa"/>
          <w:right w:w="40" w:type="dxa"/>
        </w:tblCellMar>
      </w:tblPr>
      <w:tblGrid>
        <w:gridCol w:w="2058"/>
        <w:gridCol w:w="3225"/>
        <w:gridCol w:w="5487"/>
      </w:tblGrid>
      <w:tr>
        <w:trPr>
          <w:cantSplit/>
        </w:trPr>
        <w:tc>
          <w:tcPr>
            <w:tcW w:w="2058" w:type="dxa"/>
            <w:shd w:val="clear" w:fill="auto"/>
            <w:vAlign w:val="center"/>
          </w:tcPr>
          <w:p>
            <w:pPr>
              <w:pStyle w:val="[Normal]"/>
              <w:jc w:val="center"/>
              <w:rPr>
                <w:rFonts w:ascii="Garamond" w:hAnsi="Garamond" w:eastAsia="Garamond"/>
                <w:b w:val="on"/>
                <w:color w:val="004389"/>
                <w:sz w:val="28"/>
              </w:rPr>
            </w:pPr>
            <w:r>
              <w:rPr>
                <w:rFonts w:ascii="Garamond" w:hAnsi="Garamond" w:eastAsia="Garamond"/>
                <w:b w:val="on"/>
                <w:color w:val="004389"/>
                <w:sz w:val="32"/>
              </w:rPr>
              <w:t xml:space="preserve"> DEP0846</w:t>
            </w:r>
          </w:p>
        </w:tc>
        <w:tc>
          <w:tcPr>
            <w:tcW w:w="3225" w:type="dxa"/>
            <w:shd w:val="clear" w:fill="auto"/>
            <w:vAlign w:val="center"/>
          </w:tcPr>
          <w:p>
            <w:pPr>
              <w:pStyle w:val="[Normal]"/>
              <w:jc w:val="center"/>
              <w:rPr>
                <w:rFonts w:ascii="Garamond" w:hAnsi="Garamond" w:eastAsia="Garamond"/>
                <w:b w:val="on"/>
                <w:color w:val="004389"/>
                <w:sz w:val="28"/>
              </w:rPr>
            </w:pPr>
            <w:r>
              <w:rPr>
                <w:rFonts w:ascii="Garamond" w:hAnsi="Garamond" w:eastAsia="Garamond"/>
                <w:b w:val="on"/>
                <w:color w:val="004389"/>
                <w:sz w:val="28"/>
              </w:rPr>
              <w:t xml:space="preserve">795 000 € H.A.I </w:t>
            </w:r>
          </w:p>
          <w:p>
            <w:pPr>
              <w:pStyle w:val="[Normal]"/>
              <w:jc w:val="center"/>
              <w:rPr>
                <w:rFonts w:ascii="Garamond" w:hAnsi="Garamond" w:eastAsia="Garamond"/>
                <w:b w:val="on"/>
                <w:color w:val="004389"/>
                <w:sz w:val="28"/>
              </w:rPr>
            </w:pPr>
            <w:r>
              <w:rPr>
                <w:rFonts w:ascii="Garamond" w:hAnsi="Garamond" w:eastAsia="Garamond"/>
                <w:color w:val="004389"/>
                <w:sz w:val="16"/>
              </w:rPr>
              <w:t xml:space="preserve">dont 6,00% d'honoraires à charge de l'acquéreur</w:t>
              <w:br w:type="textWrapping"/>
            </w:r>
            <w:r>
              <w:rPr>
                <w:rFonts w:ascii="Garamond" w:hAnsi="Garamond" w:eastAsia="Garamond"/>
                <w:color w:val="004389"/>
                <w:sz w:val="16"/>
              </w:rPr>
              <w:t xml:space="preserve">Prix honoraires exclus : 750 000 €</w:t>
            </w:r>
          </w:p>
        </w:tc>
        <w:tc>
          <w:tcPr>
            <w:tcW w:w="5487" w:type="dxa"/>
            <w:shd w:val="clear" w:fill="auto"/>
            <w:vAlign w:val="center"/>
          </w:tcPr>
          <w:p>
            <w:pPr>
              <w:pStyle w:val="[Normal]"/>
              <w:jc w:val="center"/>
              <w:rPr>
                <w:rFonts w:ascii="Garamond" w:hAnsi="Garamond" w:eastAsia="Garamond"/>
                <w:b w:val="on"/>
                <w:color w:val="004389"/>
              </w:rPr>
            </w:pPr>
            <w:r>
              <w:rPr>
                <w:rFonts w:ascii="Garamond" w:hAnsi="Garamond" w:eastAsia="Garamond"/>
                <w:b w:val="on"/>
                <w:color w:val="004389"/>
              </w:rPr>
              <w:t xml:space="preserve">Calme, vue et authenticité pour cette propriété en pierres implantée au milieu de 20 hectares attenants</w:t>
            </w:r>
          </w:p>
        </w:tc>
      </w:tr>
    </w:tbl>
    <w:p>
      <w:pPr>
        <w:pStyle w:val="[Normal]"/>
        <w:jc w:val="center"/>
        <w:rPr>
          <w:sz w:val="4"/>
        </w:rPr>
      </w:pPr>
    </w:p>
    <w:tbl>
      <w:tblPr>
        <w:tblW w:w="0" w:type="auto"/>
        <w:jc w:val="left"/>
        <w:tblInd w:w="33"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2715"/>
        <w:gridCol w:w="8040"/>
      </w:tblGrid>
      <w:tr>
        <w:trPr>
          <w:cantSplit/>
        </w:trPr>
        <w:tc>
          <w:tcPr>
            <w:tcW w:w="2715" w:type="dxa"/>
            <w:shd w:val="clear" w:fill="004389"/>
            <w:vAlign w:val="center"/>
          </w:tcPr>
          <w:p>
            <w:pPr>
              <w:pStyle w:val="[Normal]"/>
              <w:jc w:val="center"/>
              <w:rPr>
                <w:rFonts w:ascii="Garamond" w:hAnsi="Garamond" w:eastAsia="Garamond"/>
                <w:color w:val="FFFFFF"/>
                <w:shd w:val="clear" w:fill="004389"/>
              </w:rPr>
            </w:pPr>
            <w:r>
              <w:rPr>
                <w:rFonts w:ascii="Garamond" w:hAnsi="Garamond" w:eastAsia="Garamond"/>
                <w:b w:val="on"/>
                <w:color w:val="FFFFFF"/>
                <w:u w:val="single"/>
                <w:shd w:val="clear" w:fill="004389"/>
              </w:rPr>
              <w:t xml:space="preserve">Détails</w:t>
            </w:r>
          </w:p>
        </w:tc>
        <w:tc>
          <w:tcPr>
            <w:tcW w:w="8040" w:type="dxa"/>
            <w:shd w:val="clear" w:fill="004389"/>
            <w:vAlign w:val="center"/>
          </w:tcPr>
          <w:p>
            <w:pPr>
              <w:pStyle w:val="[Normal]"/>
              <w:jc w:val="center"/>
              <w:rPr>
                <w:rFonts w:ascii="Garamond" w:hAnsi="Garamond" w:eastAsia="Garamond"/>
                <w:b w:val="on"/>
                <w:color w:val="FFFFFF"/>
                <w:sz w:val="28"/>
                <w:u w:val="single"/>
                <w:shd w:val="clear" w:fill="004389"/>
              </w:rPr>
            </w:pPr>
            <w:r>
              <w:rPr>
                <w:rFonts w:ascii="Garamond" w:hAnsi="Garamond" w:eastAsia="Garamond"/>
                <w:b w:val="on"/>
                <w:color w:val="FFFFFF"/>
                <w:sz w:val="28"/>
                <w:u w:val="single"/>
                <w:shd w:val="clear" w:fill="004389"/>
              </w:rPr>
              <w:t xml:space="preserve">Région ST CYPRIEN</w:t>
            </w:r>
          </w:p>
        </w:tc>
      </w:tr>
      <w:tr>
        <w:tc>
          <w:tcPr>
            <w:tcW w:w="2715" w:type="dxa"/>
            <w:shd w:val="clear" w:fill="auto"/>
            <w:vAlign w:val="top"/>
          </w:tcPr>
          <w:p>
            <w:pPr>
              <w:pStyle w:val="[Normal]"/>
              <w:rPr>
                <w:rFonts w:ascii="Garamond" w:hAnsi="Garamond" w:eastAsia="Garamond"/>
                <w:sz w:val="2"/>
              </w:rPr>
            </w:pPr>
          </w:p>
          <w:p>
            <w:pPr>
              <w:pStyle w:val="Type de détail"/>
            </w:pPr>
            <w:r>
              <w:t xml:space="preserve">Situation du bien:</w:t>
            </w:r>
          </w:p>
          <w:p>
            <w:pPr>
              <w:pStyle w:val="Détail"/>
              <w:numPr>
                <w:ilvl w:val="0"/>
                <w:numId w:val="3"/>
              </w:numPr>
            </w:pPr>
            <w:r>
              <w:t xml:space="preserve">Campagne isolée.</w:t>
            </w:r>
          </w:p>
          <w:p>
            <w:pPr>
              <w:pStyle w:val="Type de détail"/>
            </w:pPr>
            <w:r>
              <w:t xml:space="preserve">Rez de chaussée:</w:t>
            </w:r>
          </w:p>
          <w:p>
            <w:pPr>
              <w:pStyle w:val="Détail"/>
              <w:numPr>
                <w:ilvl w:val="0"/>
                <w:numId w:val="3"/>
              </w:numPr>
            </w:pPr>
            <w:r>
              <w:t xml:space="preserve">Buanderie de 3,5m².</w:t>
            </w:r>
          </w:p>
          <w:p>
            <w:pPr>
              <w:pStyle w:val="Détail"/>
              <w:numPr>
                <w:ilvl w:val="0"/>
                <w:numId w:val="3"/>
              </w:numPr>
            </w:pPr>
            <w:r>
              <w:t xml:space="preserve">Cave de 5m².</w:t>
            </w:r>
          </w:p>
          <w:p>
            <w:pPr>
              <w:pStyle w:val="Détail"/>
              <w:numPr>
                <w:ilvl w:val="0"/>
                <w:numId w:val="3"/>
              </w:numPr>
            </w:pPr>
            <w:r>
              <w:t xml:space="preserve">2 Chambres de 10 et 17m² avec accès à la terrasse couverte.</w:t>
            </w:r>
          </w:p>
          <w:p>
            <w:pPr>
              <w:pStyle w:val="Détail"/>
              <w:numPr>
                <w:ilvl w:val="0"/>
                <w:numId w:val="3"/>
              </w:numPr>
            </w:pPr>
            <w:r>
              <w:t xml:space="preserve">Couloir de 6m².</w:t>
            </w:r>
          </w:p>
          <w:p>
            <w:pPr>
              <w:pStyle w:val="Détail"/>
              <w:numPr>
                <w:ilvl w:val="0"/>
                <w:numId w:val="3"/>
              </w:numPr>
            </w:pPr>
            <w:r>
              <w:t xml:space="preserve">Cuisine /salle à manger de 48m² avec poêle alsacien.</w:t>
            </w:r>
          </w:p>
          <w:p>
            <w:pPr>
              <w:pStyle w:val="Détail"/>
              <w:numPr>
                <w:ilvl w:val="0"/>
                <w:numId w:val="3"/>
              </w:numPr>
            </w:pPr>
            <w:r>
              <w:t xml:space="preserve">Hall d'entrée de 10m².</w:t>
            </w:r>
          </w:p>
          <w:p>
            <w:pPr>
              <w:pStyle w:val="Détail"/>
              <w:numPr>
                <w:ilvl w:val="0"/>
                <w:numId w:val="3"/>
              </w:numPr>
            </w:pPr>
            <w:r>
              <w:t xml:space="preserve">Salon de 56m² avec poêle alsacien.</w:t>
            </w:r>
          </w:p>
          <w:p>
            <w:pPr>
              <w:pStyle w:val="Détail"/>
              <w:numPr>
                <w:ilvl w:val="0"/>
                <w:numId w:val="3"/>
              </w:numPr>
            </w:pPr>
            <w:r>
              <w:t xml:space="preserve">Salle de bains de5m² avec lavabo et wc.</w:t>
            </w:r>
          </w:p>
          <w:p>
            <w:pPr>
              <w:pStyle w:val="Détail"/>
              <w:numPr>
                <w:ilvl w:val="0"/>
                <w:numId w:val="3"/>
              </w:numPr>
            </w:pPr>
            <w:r>
              <w:t xml:space="preserve">Terrasse couverte de 15m².</w:t>
            </w:r>
          </w:p>
          <w:p>
            <w:pPr>
              <w:pStyle w:val="Détail"/>
              <w:numPr>
                <w:ilvl w:val="0"/>
                <w:numId w:val="3"/>
              </w:numPr>
            </w:pPr>
            <w:r>
              <w:t xml:space="preserve">WC indépendant.</w:t>
            </w:r>
          </w:p>
          <w:p>
            <w:pPr>
              <w:pStyle w:val="Type de détail"/>
            </w:pPr>
            <w:r>
              <w:t xml:space="preserve">1er étage:</w:t>
            </w:r>
          </w:p>
          <w:p>
            <w:pPr>
              <w:pStyle w:val="Détail"/>
              <w:numPr>
                <w:ilvl w:val="0"/>
                <w:numId w:val="3"/>
              </w:numPr>
            </w:pPr>
            <w:r>
              <w:t xml:space="preserve">Chambre de 22m² mansardée.</w:t>
            </w:r>
          </w:p>
          <w:p>
            <w:pPr>
              <w:pStyle w:val="Détail"/>
              <w:numPr>
                <w:ilvl w:val="0"/>
                <w:numId w:val="3"/>
              </w:numPr>
            </w:pPr>
            <w:r>
              <w:t xml:space="preserve">Couloir de 6m².</w:t>
            </w:r>
          </w:p>
          <w:p>
            <w:pPr>
              <w:pStyle w:val="Détail"/>
              <w:numPr>
                <w:ilvl w:val="0"/>
                <w:numId w:val="3"/>
              </w:numPr>
            </w:pPr>
            <w:r>
              <w:t xml:space="preserve">2 Mezzanines de 18 et 21m² utilisées comme bureau et chambre d'appoint.</w:t>
            </w:r>
          </w:p>
          <w:p>
            <w:pPr>
              <w:pStyle w:val="Détail"/>
              <w:numPr>
                <w:ilvl w:val="0"/>
                <w:numId w:val="3"/>
              </w:numPr>
            </w:pPr>
            <w:r>
              <w:t xml:space="preserve">Salle d'eau de 7m² avec douche, lavabo et wc.</w:t>
            </w:r>
          </w:p>
          <w:p>
            <w:pPr>
              <w:pStyle w:val="Détail"/>
              <w:numPr>
                <w:ilvl w:val="0"/>
                <w:numId w:val="3"/>
              </w:numPr>
            </w:pPr>
            <w:r>
              <w:t xml:space="preserve">Suite de 46m² avec entrée indépendante en rez-de-jardin, chambre et salle de bains.</w:t>
            </w:r>
          </w:p>
          <w:p>
            <w:pPr>
              <w:pStyle w:val="Type de détail"/>
            </w:pPr>
            <w:r>
              <w:t xml:space="preserve">Dépendances:</w:t>
            </w:r>
          </w:p>
          <w:p>
            <w:pPr>
              <w:pStyle w:val="Détail"/>
              <w:numPr>
                <w:ilvl w:val="0"/>
                <w:numId w:val="3"/>
              </w:numPr>
            </w:pPr>
            <w:r>
              <w:t xml:space="preserve">Four à pain de 13m².</w:t>
            </w:r>
          </w:p>
          <w:p>
            <w:pPr>
              <w:pStyle w:val="Détail"/>
              <w:numPr>
                <w:ilvl w:val="0"/>
                <w:numId w:val="3"/>
              </w:numPr>
            </w:pPr>
            <w:r>
              <w:t xml:space="preserve">Garage /atelier de 47m².</w:t>
            </w:r>
          </w:p>
          <w:p>
            <w:pPr>
              <w:pStyle w:val="Détail"/>
              <w:numPr>
                <w:ilvl w:val="0"/>
                <w:numId w:val="3"/>
              </w:numPr>
            </w:pPr>
            <w:r>
              <w:t xml:space="preserve">Grange en pierres de 46m² abritant la chaufferie.</w:t>
            </w:r>
          </w:p>
          <w:p>
            <w:pPr>
              <w:pStyle w:val="Détail"/>
              <w:numPr>
                <w:ilvl w:val="0"/>
                <w:numId w:val="3"/>
              </w:numPr>
            </w:pPr>
            <w:r>
              <w:t xml:space="preserve">Grangette attenante à la maison de 8m² utilisée comme cave.</w:t>
            </w:r>
          </w:p>
          <w:p>
            <w:pPr>
              <w:pStyle w:val="Type de détail"/>
            </w:pPr>
            <w:r>
              <w:t xml:space="preserve">Chauffage:</w:t>
            </w:r>
          </w:p>
          <w:p>
            <w:pPr>
              <w:pStyle w:val="Détail"/>
              <w:numPr>
                <w:ilvl w:val="0"/>
                <w:numId w:val="3"/>
              </w:numPr>
            </w:pPr>
            <w:r>
              <w:t xml:space="preserve">bois avec deux poêles alsaciens dans la cuisine et le salon.</w:t>
            </w:r>
          </w:p>
          <w:p>
            <w:pPr>
              <w:pStyle w:val="Détail"/>
              <w:numPr>
                <w:ilvl w:val="0"/>
                <w:numId w:val="3"/>
              </w:numPr>
            </w:pPr>
            <w:r>
              <w:t xml:space="preserve">CC Fuel.</w:t>
            </w:r>
          </w:p>
          <w:p>
            <w:pPr>
              <w:pStyle w:val="Type de détail"/>
            </w:pPr>
            <w:r>
              <w:t xml:space="preserve">Equipements divers:</w:t>
            </w:r>
          </w:p>
          <w:p>
            <w:pPr>
              <w:pStyle w:val="Détail"/>
              <w:numPr>
                <w:ilvl w:val="0"/>
                <w:numId w:val="3"/>
              </w:numPr>
            </w:pPr>
            <w:r>
              <w:t xml:space="preserve">Double vitrage principalement.</w:t>
            </w:r>
          </w:p>
          <w:p>
            <w:pPr>
              <w:pStyle w:val="Détail"/>
              <w:numPr>
                <w:ilvl w:val="0"/>
                <w:numId w:val="3"/>
              </w:numPr>
            </w:pPr>
            <w:r>
              <w:t xml:space="preserve">Fosse septique.</w:t>
            </w:r>
          </w:p>
          <w:p>
            <w:pPr>
              <w:pStyle w:val="Type de détail"/>
            </w:pPr>
            <w:r>
              <w:t xml:space="preserve">Services:</w:t>
            </w:r>
          </w:p>
          <w:p>
            <w:pPr>
              <w:pStyle w:val="Détail"/>
              <w:numPr>
                <w:ilvl w:val="0"/>
                <w:numId w:val="3"/>
              </w:numPr>
            </w:pPr>
            <w:r>
              <w:t xml:space="preserve">Ville la plus proche : Saint-Cyprien.</w:t>
            </w:r>
          </w:p>
          <w:p>
            <w:pPr>
              <w:pStyle w:val="Détail"/>
              <w:numPr>
                <w:ilvl w:val="0"/>
                <w:numId w:val="3"/>
              </w:numPr>
            </w:pPr>
            <w:r>
              <w:t xml:space="preserve">Calme.</w:t>
            </w:r>
          </w:p>
          <w:p>
            <w:pPr>
              <w:pStyle w:val="Détail"/>
              <w:numPr>
                <w:ilvl w:val="0"/>
                <w:numId w:val="3"/>
              </w:numPr>
            </w:pPr>
            <w:r>
              <w:t xml:space="preserve">Chambre d'hôtes possible.</w:t>
            </w:r>
          </w:p>
          <w:p>
            <w:pPr>
              <w:pStyle w:val="Détail"/>
              <w:numPr>
                <w:ilvl w:val="0"/>
                <w:numId w:val="3"/>
              </w:numPr>
            </w:pPr>
            <w:r>
              <w:t xml:space="preserve">Commerces à 5 minutes.</w:t>
            </w:r>
          </w:p>
          <w:p>
            <w:pPr>
              <w:pStyle w:val="Détail"/>
              <w:numPr>
                <w:ilvl w:val="0"/>
                <w:numId w:val="3"/>
              </w:numPr>
            </w:pPr>
            <w:r>
              <w:t xml:space="preserve">Dépendance.</w:t>
            </w:r>
          </w:p>
          <w:p>
            <w:pPr>
              <w:pStyle w:val="Détail"/>
              <w:numPr>
                <w:ilvl w:val="0"/>
                <w:numId w:val="3"/>
              </w:numPr>
            </w:pPr>
            <w:r>
              <w:t xml:space="preserve">Ecole à 5 minutes.</w:t>
            </w:r>
          </w:p>
          <w:p>
            <w:pPr>
              <w:pStyle w:val="Détail"/>
              <w:numPr>
                <w:ilvl w:val="0"/>
                <w:numId w:val="3"/>
              </w:numPr>
            </w:pPr>
            <w:r>
              <w:t xml:space="preserve">Gare à 5 minutes.</w:t>
            </w:r>
          </w:p>
          <w:p>
            <w:pPr>
              <w:pStyle w:val="Détail"/>
              <w:numPr>
                <w:ilvl w:val="0"/>
                <w:numId w:val="3"/>
              </w:numPr>
            </w:pPr>
            <w:r>
              <w:t xml:space="preserve">Internet / ADSL.</w:t>
            </w:r>
          </w:p>
          <w:p>
            <w:pPr>
              <w:pStyle w:val="Détail"/>
              <w:numPr>
                <w:ilvl w:val="0"/>
                <w:numId w:val="3"/>
              </w:numPr>
            </w:pPr>
            <w:r>
              <w:t xml:space="preserve">Vue dégagée sur la vallée.</w:t>
            </w:r>
          </w:p>
          <w:p>
            <w:pPr>
              <w:pStyle w:val="Détail"/>
              <w:numPr>
                <w:ilvl w:val="0"/>
                <w:numId w:val="3"/>
              </w:numPr>
            </w:pPr>
            <w:r>
              <w:t xml:space="preserve">Plain-pied 4 marches entre salon et cuisine.</w:t>
            </w:r>
          </w:p>
          <w:p>
            <w:pPr>
              <w:pStyle w:val="Type de détail"/>
            </w:pPr>
            <w:r>
              <w:t xml:space="preserve">Terrain:</w:t>
            </w:r>
          </w:p>
          <w:p>
            <w:pPr>
              <w:pStyle w:val="Détail"/>
              <w:numPr>
                <w:ilvl w:val="0"/>
                <w:numId w:val="3"/>
              </w:numPr>
            </w:pPr>
            <w:r>
              <w:t xml:space="preserve">Allée privée.</w:t>
            </w:r>
          </w:p>
          <w:p>
            <w:pPr>
              <w:pStyle w:val="Détail"/>
              <w:numPr>
                <w:ilvl w:val="0"/>
                <w:numId w:val="3"/>
              </w:numPr>
            </w:pPr>
            <w:r>
              <w:t xml:space="preserve">Boisé sur 10 hectares.</w:t>
            </w:r>
          </w:p>
          <w:p>
            <w:pPr>
              <w:pStyle w:val="Détail"/>
              <w:numPr>
                <w:ilvl w:val="0"/>
                <w:numId w:val="3"/>
              </w:numPr>
            </w:pPr>
            <w:r>
              <w:t xml:space="preserve">Piscine à débordement de 6x12 au sel.</w:t>
            </w:r>
          </w:p>
          <w:p>
            <w:pPr>
              <w:pStyle w:val="Détail"/>
              <w:numPr>
                <w:ilvl w:val="0"/>
                <w:numId w:val="3"/>
              </w:numPr>
            </w:pPr>
            <w:r>
              <w:t xml:space="preserve">prairie sur 10 hectares.</w:t>
            </w:r>
          </w:p>
          <w:p>
            <w:pPr>
              <w:pStyle w:val="Détail"/>
              <w:numPr>
                <w:ilvl w:val="0"/>
                <w:numId w:val="3"/>
              </w:numPr>
            </w:pPr>
            <w:r>
              <w:t xml:space="preserve">Verger.</w:t>
            </w:r>
          </w:p>
          <w:p>
            <w:pPr>
              <w:pStyle w:val="Détail"/>
              <w:numPr>
                <w:ilvl w:val="0"/>
                <w:numId w:val="3"/>
              </w:numPr>
            </w:pPr>
          </w:p>
        </w:tc>
        <w:tc>
          <w:tcPr>
            <w:tcW w:w="8040" w:type="dxa"/>
            <w:shd w:val="clear" w:fill="auto"/>
            <w:vAlign w:val="center"/>
          </w:tcPr>
          <w:tbl>
            <w:tblPr>
              <w:tblW w:w="0" w:type="auto"/>
              <w:jc w:val="left"/>
              <w:tblInd w:w="27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7710"/>
            </w:tblGrid>
            <w:tr>
              <w:tc>
                <w:tcPr>
                  <w:tcW w:w="7710" w:type="dxa"/>
                  <w:shd w:val="clear" w:fill="auto"/>
                  <w:vAlign w:val="top"/>
                </w:tcPr>
                <w:p>
                  <w:pPr>
                    <w:pStyle w:val="[Normal]"/>
                    <w:jc w:val="center"/>
                    <w:rPr>
                      <w:rFonts w:ascii="Garamond" w:hAnsi="Garamond" w:eastAsia="Garamond"/>
                      <w:sz w:val="4"/>
                    </w:rPr>
                  </w:pPr>
                </w:p>
                <w:p>
                  <w:pPr>
                    <w:pStyle w:val="[Normal]"/>
                    <w:jc w:val="center"/>
                    <w:rPr>
                      <w:rFonts w:ascii="Garamond" w:hAnsi="Garamond" w:eastAsia="Garamond"/>
                    </w:rPr>
                  </w:pPr>
                  <w:r>
                    <w:drawing>
                      <wp:inline distT="0" distB="0" distL="0" distR="0">
                        <wp:extent cx="4389120" cy="246888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4389120" cy="2468880"/>
                                </a:xfrm>
                                <a:prstGeom prst="rect">
                                  <a:avLst/>
                                </a:prstGeom>
                              </pic:spPr>
                            </pic:pic>
                          </a:graphicData>
                        </a:graphic>
                      </wp:inline>
                    </w:drawing>
                  </w:r>
                </w:p>
              </w:tc>
            </w:tr>
            <w:tr>
              <w:tc>
                <w:tcPr>
                  <w:tcW w:w="7710" w:type="dxa"/>
                  <w:shd w:val="clear" w:fill="auto"/>
                  <w:vAlign w:val="top"/>
                </w:tcPr>
                <w:p>
                  <w:pPr>
                    <w:pStyle w:val="[Normal]"/>
                    <w:jc w:val="center"/>
                    <w:rPr>
                      <w:rFonts w:ascii="Garamond" w:hAnsi="Garamond" w:eastAsia="Garamond"/>
                      <w:sz w:val="4"/>
                    </w:rPr>
                  </w:pPr>
                </w:p>
              </w:tc>
            </w:tr>
            <w:tr>
              <w:tc>
                <w:tcPr>
                  <w:tcW w:w="7710" w:type="dxa"/>
                  <w:shd w:val="clear" w:fill="auto"/>
                  <w:vAlign w:val="top"/>
                </w:tcPr>
                <w:tbl>
                  <w:tblPr>
                    <w:tblW w:w="0" w:type="auto"/>
                    <w:jc w:val="left"/>
                    <w:tblInd w:w="0"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550"/>
                    <w:gridCol w:w="2550"/>
                    <w:gridCol w:w="2550"/>
                  </w:tblGrid>
                  <w:tr>
                    <w:tc>
                      <w:tcPr>
                        <w:tcW w:w="2550" w:type="dxa"/>
                        <w:shd w:val="clear" w:fill="auto"/>
                        <w:vAlign w:val="top"/>
                      </w:tcPr>
                      <w:p>
                        <w:pPr>
                          <w:pStyle w:val="[Normal]"/>
                          <w:jc w:val="center"/>
                          <w:rPr>
                            <w:rFonts w:ascii="Garamond" w:hAnsi="Garamond" w:eastAsia="Garamond"/>
                          </w:rPr>
                        </w:pPr>
                        <w:r>
                          <w:drawing>
                            <wp:inline distT="0" distB="0" distL="0" distR="0">
                              <wp:extent cx="1280160" cy="72009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1280160" cy="720090"/>
                                      </a:xfrm>
                                      <a:prstGeom prst="rect">
                                        <a:avLst/>
                                      </a:prstGeom>
                                    </pic:spPr>
                                  </pic:pic>
                                </a:graphicData>
                              </a:graphic>
                            </wp:inline>
                          </w:drawing>
                        </w:r>
                      </w:p>
                    </w:tc>
                    <w:tc>
                      <w:tcPr>
                        <w:tcW w:w="2550" w:type="dxa"/>
                        <w:shd w:val="clear" w:fill="auto"/>
                        <w:vAlign w:val="top"/>
                      </w:tcPr>
                      <w:p>
                        <w:pPr>
                          <w:pStyle w:val="[Normal]"/>
                          <w:jc w:val="center"/>
                          <w:rPr>
                            <w:rFonts w:ascii="Garamond" w:hAnsi="Garamond" w:eastAsia="Garamond"/>
                          </w:rPr>
                        </w:pPr>
                        <w:r>
                          <w:drawing>
                            <wp:inline distT="0" distB="0" distL="0" distR="0">
                              <wp:extent cx="1276985" cy="92583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276985" cy="925830"/>
                                      </a:xfrm>
                                      <a:prstGeom prst="rect">
                                        <a:avLst/>
                                      </a:prstGeom>
                                    </pic:spPr>
                                  </pic:pic>
                                </a:graphicData>
                              </a:graphic>
                            </wp:inline>
                          </w:drawing>
                        </w:r>
                      </w:p>
                    </w:tc>
                    <w:tc>
                      <w:tcPr>
                        <w:tcW w:w="2550" w:type="dxa"/>
                        <w:shd w:val="clear" w:fill="auto"/>
                        <w:vAlign w:val="top"/>
                      </w:tcPr>
                      <w:p>
                        <w:pPr>
                          <w:pStyle w:val="[Normal]"/>
                          <w:jc w:val="center"/>
                          <w:rPr>
                            <w:rFonts w:ascii="Garamond" w:hAnsi="Garamond" w:eastAsia="Garamond"/>
                          </w:rPr>
                        </w:pPr>
                        <w:r>
                          <w:drawing>
                            <wp:inline distT="0" distB="0" distL="0" distR="0">
                              <wp:extent cx="1234440" cy="92583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1234440" cy="925830"/>
                                      </a:xfrm>
                                      <a:prstGeom prst="rect">
                                        <a:avLst/>
                                      </a:prstGeom>
                                    </pic:spPr>
                                  </pic:pic>
                                </a:graphicData>
                              </a:graphic>
                            </wp:inline>
                          </w:drawing>
                        </w:r>
                      </w:p>
                    </w:tc>
                  </w:tr>
                </w:tbl>
                <w:p/>
              </w:tc>
            </w:tr>
            <w:tr>
              <w:tc>
                <w:tcPr>
                  <w:tcW w:w="7710" w:type="dxa"/>
                  <w:shd w:val="clear" w:fill="auto"/>
                  <w:vAlign w:val="top"/>
                </w:tcPr>
                <w:p>
                  <w:pPr>
                    <w:pStyle w:val="[Normal]"/>
                    <w:jc w:val="center"/>
                    <w:rPr>
                      <w:rFonts w:ascii="Garamond" w:hAnsi="Garamond" w:eastAsia="Garamond"/>
                      <w:sz w:val="4"/>
                    </w:rPr>
                  </w:pPr>
                </w:p>
              </w:tc>
            </w:tr>
            <w:tr>
              <w:tc>
                <w:tcPr>
                  <w:tcW w:w="7710" w:type="dxa"/>
                  <w:shd w:val="clear" w:fill="auto"/>
                  <w:vAlign w:val="top"/>
                </w:tcPr>
                <w:p>
                  <w:pPr>
                    <w:pStyle w:val="[Normal]"/>
                    <w:jc w:val="center"/>
                    <w:rPr>
                      <w:rFonts w:ascii="Garamond" w:hAnsi="Garamond" w:eastAsia="Garamond"/>
                      <w:sz w:val="4"/>
                    </w:rPr>
                  </w:pPr>
                </w:p>
                <w:p>
                  <w:pPr>
                    <w:pStyle w:val="[Normal]"/>
                    <w:jc w:val="center"/>
                    <w:rPr>
                      <w:rFonts w:ascii="Garamond" w:hAnsi="Garamond" w:eastAsia="Garamond"/>
                    </w:rPr>
                  </w:pPr>
                  <w:r>
                    <w:rPr>
                      <w:rFonts w:ascii="Garamond" w:hAnsi="Garamond" w:eastAsia="Garamond"/>
                    </w:rPr>
                    <w:t xml:space="preserve">Dans un cadre privilégié sans nuisance ni voisinage, on accède à cette propriété de charme par un petit chemin privé.De style longère, la maison offre 270m² habitables. On y trouve quatre chambres - dont une suite avec entrée indépendante - une grande cuisine et un magnifique salon au plafond cathédrale. Toutes les pièces sont orientées au SUD vers la vue dégagée sur la vallée de la Dordogne.Terrain de 20 hectares (prairie et bois) avec également un ancien fournil, une grange, un atelier, et une piscine à débordement.- Bon état général- Chauffage central au fuel. Poêles alsaciens. Double vitrage en grande partie.Possibilité de jouissance de 10 hectares boisés supplémentaires. Les informations sur les risques auxquels ce bien est exposé sont disponibles sur le site Géorisques: www.georisques.gouv.fr</w:t>
                  </w:r>
                </w:p>
              </w:tc>
            </w:tr>
            <w:tr>
              <w:tc>
                <w:tcPr>
                  <w:tcW w:w="7710" w:type="dxa"/>
                  <w:tcBorders>
                    <w:bottom w:val="nil"/>
                  </w:tcBorders>
                  <w:shd w:val="clear" w:fill="auto"/>
                  <w:vAlign w:val="top"/>
                </w:tcPr>
                <w:p>
                  <w:pPr>
                    <w:pStyle w:val="[Normal]"/>
                    <w:jc w:val="center"/>
                    <w:rPr>
                      <w:rFonts w:ascii="Garamond" w:hAnsi="Garamond" w:eastAsia="Garamond"/>
                      <w:sz w:val="4"/>
                    </w:rPr>
                  </w:pPr>
                </w:p>
              </w:tc>
            </w:tr>
          </w:tbl>
          <w:tbl>
            <w:tblPr>
              <w:tblW w:w="0" w:type="auto"/>
              <w:jc w:val="left"/>
              <w:tblInd w:w="255"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3535"/>
              <w:gridCol w:w="4190"/>
            </w:tblGrid>
            <w:tr>
              <w:tc>
                <w:tcPr>
                  <w:tcW w:w="3535" w:type="dxa"/>
                  <w:tcBorders>
                    <w:top w:val="nil"/>
                  </w:tcBorders>
                  <w:shd w:val="clear" w:fill="auto"/>
                  <w:vAlign w:val="top"/>
                </w:tcPr>
                <w:p>
                  <w:pPr>
                    <w:pStyle w:val="[Normal]"/>
                    <w:rPr>
                      <w:rFonts w:ascii="Garamond" w:hAnsi="Garamond" w:eastAsia="Garamond"/>
                    </w:rPr>
                  </w:pPr>
                  <w:r>
                    <w:rPr>
                      <w:rFonts w:ascii="Garamond" w:hAnsi="Garamond" w:eastAsia="Garamond"/>
                      <w:b w:val="on"/>
                      <w:sz w:val="20"/>
                      <w:u w:val="single"/>
                    </w:rPr>
                    <w:t xml:space="preserve">Surface habitable</w:t>
                  </w:r>
                  <w:r>
                    <w:rPr>
                      <w:rFonts w:ascii="Garamond" w:hAnsi="Garamond" w:eastAsia="Garamond"/>
                      <w:sz w:val="20"/>
                    </w:rPr>
                    <w:t xml:space="preserve"> : 270 m² </w:t>
                  </w:r>
                </w:p>
                <w:p>
                  <w:pPr>
                    <w:pStyle w:val="Normal"/>
                    <w:rPr>
                      <w:rFonts w:ascii="Garamond" w:hAnsi="Garamond" w:eastAsia="Garamond"/>
                    </w:rPr>
                  </w:pPr>
                  <w:r>
                    <w:rPr>
                      <w:rFonts w:ascii="Garamond" w:hAnsi="Garamond" w:eastAsia="Garamond"/>
                      <w:b w:val="on"/>
                      <w:u w:val="single"/>
                    </w:rPr>
                    <w:t xml:space="preserve">Surface terrain</w:t>
                  </w:r>
                  <w:r>
                    <w:rPr>
                      <w:rFonts w:ascii="Garamond" w:hAnsi="Garamond" w:eastAsia="Garamond"/>
                    </w:rPr>
                    <w:t xml:space="preserve"> : 207 436  m²</w:t>
                  </w:r>
                </w:p>
              </w:tc>
              <w:tc>
                <w:tcPr>
                  <w:tcW w:w="4190" w:type="dxa"/>
                  <w:tcBorders>
                    <w:top w:val="nil"/>
                  </w:tcBorders>
                  <w:shd w:val="clear" w:fill="auto"/>
                  <w:vAlign w:val="top"/>
                </w:tcPr>
                <w:p>
                  <w:pPr>
                    <w:pStyle w:val="Normal"/>
                    <w:tabs>
                      <w:tab w:val="left" w:pos="3995"/>
                      <w:tab w:val="right" w:pos="7567"/>
                    </w:tabs>
                    <w:rPr>
                      <w:rFonts w:ascii="Garamond" w:hAnsi="Garamond" w:eastAsia="Garamond"/>
                    </w:rPr>
                  </w:pPr>
                  <w:r>
                    <w:rPr>
                      <w:rFonts w:ascii="Garamond" w:hAnsi="Garamond" w:eastAsia="Garamond"/>
                      <w:b w:val="on"/>
                      <w:u w:val="single"/>
                    </w:rPr>
                    <w:t xml:space="preserve">Nombre de chambres</w:t>
                  </w:r>
                  <w:r>
                    <w:rPr>
                      <w:rFonts w:ascii="Garamond" w:hAnsi="Garamond" w:eastAsia="Garamond"/>
                    </w:rPr>
                    <w:t xml:space="preserve"> : 4</w:t>
                  </w:r>
                </w:p>
                <w:p>
                  <w:pPr>
                    <w:pStyle w:val="Normal"/>
                    <w:rPr>
                      <w:rFonts w:ascii="Garamond" w:hAnsi="Garamond" w:eastAsia="Garamond"/>
                    </w:rPr>
                  </w:pPr>
                  <w:r>
                    <w:rPr>
                      <w:rFonts w:ascii="Garamond" w:hAnsi="Garamond" w:eastAsia="Garamond"/>
                      <w:b w:val="on"/>
                      <w:u w:val="single"/>
                    </w:rPr>
                    <w:t xml:space="preserve">Surface du séjour</w:t>
                  </w:r>
                  <w:r>
                    <w:rPr>
                      <w:rFonts w:ascii="Garamond" w:hAnsi="Garamond" w:eastAsia="Garamond"/>
                    </w:rPr>
                    <w:t xml:space="preserve"> : 56 m²</w:t>
                  </w:r>
                </w:p>
              </w:tc>
            </w:tr>
            <w:tr>
              <w:tc>
                <w:tcPr>
                  <w:tcW w:w="3535" w:type="dxa"/>
                  <w:shd w:val="clear" w:fill="auto"/>
                  <w:vAlign w:val="top"/>
                </w:tcPr>
                <w:p>
                  <w:pPr>
                    <w:pStyle w:val="Normal"/>
                    <w:rPr>
                      <w:rFonts w:ascii="Garamond" w:hAnsi="Garamond" w:eastAsia="Garamond"/>
                      <w:sz w:val="4"/>
                    </w:rPr>
                  </w:pPr>
                </w:p>
              </w:tc>
              <w:tc>
                <w:tcPr>
                  <w:tcW w:w="4190" w:type="dxa"/>
                  <w:shd w:val="clear" w:fill="auto"/>
                  <w:vAlign w:val="top"/>
                </w:tcPr>
                <w:p>
                  <w:pPr>
                    <w:pStyle w:val="[Normal]"/>
                    <w:jc w:val="center"/>
                    <w:rPr>
                      <w:rFonts w:ascii="Garamond" w:hAnsi="Garamond" w:eastAsia="Garamond"/>
                      <w:sz w:val="4"/>
                    </w:rPr>
                  </w:pPr>
                </w:p>
              </w:tc>
            </w:tr>
            <w:tr>
              <w:tc>
                <w:tcPr>
                  <w:tcW w:w="3535" w:type="dxa"/>
                  <w:shd w:val="clear" w:fill="auto"/>
                  <w:vAlign w:val="top"/>
                </w:tcPr>
                <w:p>
                  <w:pPr>
                    <w:pStyle w:val="Normal"/>
                    <w:rPr>
                      <w:rFonts w:ascii="Garamond" w:hAnsi="Garamond" w:eastAsia="Garamond"/>
                    </w:rPr>
                  </w:pPr>
                  <w:r>
                    <w:rPr>
                      <w:rFonts w:ascii="Garamond" w:hAnsi="Garamond" w:eastAsia="Garamond"/>
                      <w:b w:val="on"/>
                      <w:u w:val="single"/>
                    </w:rPr>
                    <w:t xml:space="preserve">Etat</w:t>
                  </w:r>
                  <w:r>
                    <w:rPr>
                      <w:rFonts w:ascii="Garamond" w:hAnsi="Garamond" w:eastAsia="Garamond"/>
                    </w:rPr>
                    <w:t xml:space="preserve"> : Bon	</w:t>
                  </w:r>
                  <w:r>
                    <w:rPr>
                      <w:rFonts w:ascii="Garamond" w:hAnsi="Garamond" w:eastAsia="Garamond"/>
                      <w:b w:val="on"/>
                      <w:u w:val="single"/>
                    </w:rPr>
                    <w:t xml:space="preserve">Année de construction</w:t>
                  </w:r>
                  <w:r>
                    <w:rPr>
                      <w:rFonts w:ascii="Garamond" w:hAnsi="Garamond" w:eastAsia="Garamond"/>
                    </w:rPr>
                    <w:t xml:space="preserve"> :</w:t>
                  </w:r>
                </w:p>
                <w:p>
                  <w:pPr>
                    <w:pStyle w:val="Normal"/>
                    <w:rPr>
                      <w:rFonts w:ascii="Garamond" w:hAnsi="Garamond" w:eastAsia="Garamond"/>
                      <w:sz w:val="10"/>
                    </w:rPr>
                  </w:pPr>
                </w:p>
                <w:p>
                  <w:pPr>
                    <w:pStyle w:val="Normal"/>
                    <w:rPr>
                      <w:rFonts w:ascii="Garamond" w:hAnsi="Garamond" w:eastAsia="Garamond"/>
                    </w:rPr>
                  </w:pPr>
                  <w:r>
                    <w:drawing>
                      <wp:inline distT="0" distB="0" distL="0" distR="0">
                        <wp:extent cx="981075" cy="861695"/>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981075" cy="861695"/>
                                </a:xfrm>
                                <a:prstGeom prst="rect">
                                  <a:avLst/>
                                </a:prstGeom>
                              </pic:spPr>
                            </pic:pic>
                          </a:graphicData>
                        </a:graphic>
                      </wp:inline>
                    </w:drawing>
                  </w:r>
                </w:p>
              </w:tc>
              <w:tc>
                <w:tcPr>
                  <w:tcW w:w="4190" w:type="dxa"/>
                  <w:shd w:val="clear" w:fill="auto"/>
                  <w:vAlign w:val="top"/>
                </w:tcPr>
                <w:p>
                  <w:pPr>
                    <w:pStyle w:val="Normal"/>
                    <w:rPr>
                      <w:rFonts w:ascii="Garamond" w:hAnsi="Garamond" w:eastAsia="Garamond"/>
                      <w:b w:val="on"/>
                    </w:rPr>
                  </w:pPr>
                  <w:r>
                    <w:rPr>
                      <w:rFonts w:ascii="Garamond" w:hAnsi="Garamond" w:eastAsia="Garamond"/>
                      <w:b w:val="on"/>
                      <w:u w:val="single"/>
                    </w:rPr>
                    <w:t xml:space="preserve">Style</w:t>
                  </w:r>
                  <w:r>
                    <w:rPr>
                      <w:rFonts w:ascii="Garamond" w:hAnsi="Garamond" w:eastAsia="Garamond"/>
                      <w:b w:val="on"/>
                    </w:rPr>
                    <w:t xml:space="preserve"> : </w:t>
                  </w:r>
                  <w:r>
                    <w:rPr>
                      <w:rFonts w:ascii="Garamond" w:hAnsi="Garamond" w:eastAsia="Garamond"/>
                    </w:rPr>
                    <w:t xml:space="preserve">Pierre</w:t>
                  </w:r>
                  <w:r>
                    <w:rPr>
                      <w:rFonts w:ascii="Garamond" w:hAnsi="Garamond" w:eastAsia="Garamond"/>
                      <w:b w:val="on"/>
                    </w:rPr>
                    <w:t xml:space="preserve">     </w:t>
                  </w:r>
                </w:p>
                <w:p>
                  <w:pPr>
                    <w:pStyle w:val="Normal"/>
                    <w:rPr>
                      <w:rFonts w:ascii="Garamond" w:hAnsi="Garamond" w:eastAsia="Garamond"/>
                    </w:rPr>
                  </w:pPr>
                  <w:r>
                    <w:rPr>
                      <w:rFonts w:ascii="Garamond" w:hAnsi="Garamond" w:eastAsia="Garamond"/>
                      <w:b w:val="on"/>
                      <w:u w:val="single"/>
                    </w:rPr>
                    <w:t xml:space="preserve">Taxe Foncière </w:t>
                  </w:r>
                  <w:r>
                    <w:rPr>
                      <w:rFonts w:ascii="Garamond" w:hAnsi="Garamond" w:eastAsia="Garamond"/>
                      <w:b w:val="on"/>
                    </w:rPr>
                    <w:t xml:space="preserve">:</w:t>
                  </w:r>
                  <w:r>
                    <w:rPr>
                      <w:rFonts w:ascii="Garamond" w:hAnsi="Garamond" w:eastAsia="Garamond"/>
                    </w:rPr>
                    <w:t xml:space="preserve">3 000 €</w:t>
                  </w:r>
                </w:p>
                <w:p>
                  <w:pPr>
                    <w:pStyle w:val="Normal"/>
                    <w:rPr>
                      <w:rFonts w:ascii="Garamond" w:hAnsi="Garamond" w:eastAsia="Garamond"/>
                      <w:b w:val="on"/>
                      <w:sz w:val="10"/>
                      <w:u w:val="single"/>
                    </w:rPr>
                  </w:pPr>
                </w:p>
                <w:p>
                  <w:pPr>
                    <w:pStyle w:val="Normal"/>
                    <w:rPr>
                      <w:rFonts w:ascii="Garamond" w:hAnsi="Garamond" w:eastAsia="Garamond"/>
                      <w:b w:val="on"/>
                      <w:u w:val="single"/>
                    </w:rPr>
                  </w:pPr>
                  <w:r>
                    <w:drawing>
                      <wp:inline distT="0" distB="0" distL="0" distR="0">
                        <wp:extent cx="981075" cy="880745"/>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981075" cy="880745"/>
                                </a:xfrm>
                                <a:prstGeom prst="rect">
                                  <a:avLst/>
                                </a:prstGeom>
                              </pic:spPr>
                            </pic:pic>
                          </a:graphicData>
                        </a:graphic>
                      </wp:inline>
                    </w:drawing>
                  </w:r>
                </w:p>
              </w:tc>
            </w:tr>
          </w:tbl>
          <w:p/>
        </w:tc>
      </w:tr>
    </w:tbl>
    <w:p>
      <w:pPr>
        <w:pStyle w:val="[Normal]"/>
        <w:rPr>
          <w:sz w:val="4"/>
        </w:rPr>
      </w:pPr>
    </w:p>
    <w:sectPr>
      <w:headerReference w:type="default" r:id="rId00012"/>
      <w:footerReference w:type="default" r:id="rId00013"/>
      <w:pgSz w:w="11906" w:h="16837"/>
      <w:pgMar w:top="227" w:right="567" w:bottom="227" w:left="567" w:header="1" w:footer="113"/>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sz w:val="16"/>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t xml:space="preserve">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ind w:left="363" w:hanging="193"/>
    </w:pPr>
    <w:rPr>
      <w:sz w:val="18"/>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descriptif">
    <w:name w:val="descriptif"/>
    <w:basedOn w:val="[Normal]"/>
    <w:next w:val="descriptif"/>
    <w:qFormat/>
    <w:pPr>
      <w:ind w:left="113"/>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2" Type="http://schemas.openxmlformats.org/officeDocument/2006/relationships/header" Target="header0001.xml"/>
	<Relationship Id="rId00013" Type="http://schemas.openxmlformats.org/officeDocument/2006/relationships/footer" Target="footer0001.xml"/>
	<Relationship Id="rId00011" Type="http://schemas.openxmlformats.org/officeDocument/2006/relationships/image" Target="media/image0007.jpg"/>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4" Type="http://schemas.openxmlformats.org/officeDocument/2006/relationships/numbering" Target="numbering.xml"/>
	<Relationship Id="rId00015" Type="http://schemas.openxmlformats.org/officeDocument/2006/relationships/fontTable" Target="fontTable.xml"/>
	<Relationship Id="rId0001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