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GD1959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192 600 €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180 000 €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Labastide-Murat - Maison Traditionnelle et dépendances en pierre, box chevaux sur 1ha10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LABASTIDE MURAT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>REZ DE JARDIN:</w:t>
              <w:br/>
              <w:t xml:space="preserve"> - Garage 27,85 m²</w:t>
              <w:br/>
              <w:t xml:space="preserve">REZ DE CHAUSSÉE:</w:t>
              <w:br/>
              <w:t xml:space="preserve"> - Chambre 11,4 m²</w:t>
              <w:br/>
              <w:t xml:space="preserve"> - Cuisine 9,62 m²</w:t>
              <w:br/>
              <w:t xml:space="preserve"> - Dégagement 1,6 m²</w:t>
              <w:br/>
              <w:t xml:space="preserve"> - Séjour 31 M² avec insert granulés bois</w:t>
              <w:br/>
              <w:t xml:space="preserve"> - Salle de bains 4,57 m²</w:t>
              <w:br/>
              <w:t xml:space="preserve"> - Veranda </w:t>
            </w:r>
            <w:r>
              <w:rPr>
                <w:color w:val="000000"/>
                <w:sz w:val="14"/>
              </w:rPr>
              <w:t xml:space="preserve">7,7 m²</w:t>
              <w:br/>
              <w:t xml:space="preserve"> - WC 1,18 m²</w:t>
              <w:br/>
              <w:t xml:space="preserve">MI ETAGE:</w:t>
              <w:br/>
              <w:t xml:space="preserve"> - 2 Chambres 12 m² avec placards</w:t>
              <w:br/>
              <w:t xml:space="preserve"> - Palier 2 m²</w:t>
              <w:br/>
              <w:t xml:space="preserve">DÉPENDANCES:</w:t>
              <w:br/>
              <w:t xml:space="preserve"> - Grange 97 m² + partie 2 box chevaux 110 m² - haut grange : 143 m² + 119 m²</w:t>
              <w:br/>
              <w:t xml:space="preserve"> - Pigeonnier sur 3 niveaux - 11 m²</w:t>
              <w:br/>
              <w:t xml:space="preserve"> - Autres manège couvert 200 m²</w:t>
              <w:br/>
              <w:t xml:space="preserve">DPE:</w:t>
              <w:br/>
              <w:t xml:space="preserve"> - DPE en co</w:t>
            </w:r>
            <w:r>
              <w:rPr>
                <w:color w:val="000000"/>
                <w:sz w:val="14"/>
              </w:rPr>
              <w:t xml:space="preserve">urs </w:t>
              <w:br/>
              <w:t xml:space="preserve">CHAUFFAGE:</w:t>
              <w:br/>
              <w:t xml:space="preserve"> - bois insert granulés</w:t>
              <w:br/>
              <w:t xml:space="preserve"> - Electrique </w:t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SERVICES:</w:t>
              <w:br/>
              <w:t xml:space="preserve"> - Commerces </w:t>
              <w:br/>
              <w:t xml:space="preserve"> - Dépendance </w:t>
              <w:br/>
              <w:t xml:space="preserve"> - Plain-pied </w:t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Cloturé </w:t>
              <w:br/>
              <w:t xml:space="preserve">TOITURE:</w:t>
              <w:br/>
              <w:t xml:space="preserve"> - Tuiles </w:t>
              <w:br/>
              <w:t xml:space="preserve">OPTIONS WEB: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4860" cy="716280"/>
                      <wp:effectExtent l="0" t="0" r="0" b="0"/>
                      <wp:docPr id="1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4860" cy="7162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1.8pt;height:56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4860" cy="720090"/>
                      <wp:effectExtent l="0" t="0" r="0" b="0"/>
                      <wp:docPr id="2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4860" cy="720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1.8pt;height:56.7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2iferg6500663p6020820qhns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6500663p6020820qhnsk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6500663p6020821itgs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0663p6020821itgs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6500663p6020816vgje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0663p6020816vgje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6500663p6020823zmr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0663p6020823zmrr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Secteur Labastide-Murat- Sur 1ha10 clos en partie, cet ensemble immobilier est composée d'une solide Maison de construction traditionnelle de 90 m² habitables avec garage et de dépendances à vocation équestre - grande grange, manège couvert, bo</w:t>
                  </w:r>
                  <w:r>
                    <w:rPr>
                      <w:sz w:val="20"/>
                    </w:rPr>
                    <w:t xml:space="preserve">x chevaux et pigeonnier. Proche bourg avec commerces.</w:t>
                    <w:br/>
                    <w:t xml:space="preserve">Bois non attenant d'1ha21.</w:t>
                    <w:br/>
                    <w:t xml:space="preserve">La Maison. RDC. Véranda de 7,7 m², séjour de 31 m² avec insert, dégagement de 1,59 m², cuisine de 9,62 m² avec sortie jardin arrière et terrasse, chambre de 11,4 m², salle d</w:t>
                  </w:r>
                  <w:r>
                    <w:rPr>
                      <w:sz w:val="20"/>
                    </w:rPr>
                    <w:t xml:space="preserve">e bains de 4,57 m², wc de 1,18 m². 1/2 niveau supérieur. Dégagement de 2 m², 2 chambres de 12 m² avec placards.</w:t>
                    <w:br/>
                    <w:t xml:space="preserve">RDJ. Garage de 27,85 m². </w:t>
                    <w:br/>
                    <w:t xml:space="preserve">Chauffage électrique et bois (insert granulés). Double vitrage. Fosse septique. </w:t>
                    <w:br/>
                    <w:t xml:space="preserve">Les dépendances. Grange : 97 m² +</w:t>
                  </w:r>
                  <w:r>
                    <w:rPr>
                      <w:sz w:val="20"/>
                    </w:rPr>
                    <w:t xml:space="preserve"> partie 2 box chevaux 110 m² - haut grange : 143 m² + 119 m². Pigeonnier attenant sur 3 niveaux - 11 m². Manège couvert de 200 m².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90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11059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3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30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A rafraîchir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Traditionnel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rFonts w:eastAsia="Times New Roman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9490" cy="968686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6874" cy="97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13.3pt;height:76.3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6500663p6020821itgs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21itgs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6500663p6020816vgje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16vgjex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6500663p6020823zmrr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23zmrrt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6500663p6020819oro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19orou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6500663p6020817dybv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17dybv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6500663p6020802ilwz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02ilwzp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6500663p6020801foxj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01foxj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6500663p6020804stop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0663p6020804stop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2023-09-22T13:28:00Z</dcterms:created>
  <dcterms:modified xsi:type="dcterms:W3CDTF">2023-10-05T05:57:17Z</dcterms:modified>
</cp:coreProperties>
</file>