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470567164e4750cb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1575  du 2024-06-07 </w:t>
            </w:r>
            <w:r>
              <w:rPr>
                <w:b/>
                <w:color w:val="0000ff"/>
                <w:sz w:val="40"/>
                <w:lang w:val="fr-FR"/>
              </w:rPr>
              <w:t xml:space="preserve">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Viel Four 46600 GIGNAC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Monsieur et Madame MUZAC TANINA &amp; PIERRE-ANGE</w:t>
            </w:r>
            <w:r/>
          </w:p>
          <w:p>
            <w:pPr>
              <w:pStyle w:val="685"/>
              <w:jc w:val="center"/>
            </w:pPr>
            <w:r>
              <w:t xml:space="preserve"> VIEL FOUR 46600 GIGNAC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285 000 €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299 250 €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.</w:t>
      </w:r>
      <w:r>
        <w:rPr>
          <w:color w:val="0000ff"/>
          <w:sz w:val="22"/>
          <w:szCs w:val="18"/>
          <w:lang w:val="fr-FR"/>
        </w:rPr>
        <w:t xml:space="preserve">14 250 €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86915" cy="1227212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457452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86914" cy="12272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6.4pt;height:96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2024-10-21T12:52:30Z</dcterms:modified>
</cp:coreProperties>
</file>