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3336"/>
        <w:gridCol w:w="6302"/>
      </w:tblGrid>
      <w:tr>
        <w:trPr/>
        <w:tc>
          <w:tcPr>
            <w:shd w:val="clear" w:color="auto" w:fill="auto"/>
            <w:tcW w:w="3336" w:type="dxa"/>
            <w:vAlign w:val="top"/>
            <w:textDirection w:val="lrTb"/>
            <w:noWrap w:val="false"/>
          </w:tcPr>
          <w:p>
            <w:pPr>
              <w:pStyle w:val="721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04950" cy="1209675"/>
                      <wp:effectExtent l="0" t="0" r="0" b="0"/>
                      <wp:docPr id="4" name="_tx_id_4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4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04950" cy="1209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8.5pt;height:95.2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6302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  <w:r/>
          </w:p>
          <w:p>
            <w:pPr>
              <w:pStyle w:val="720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  <w:r/>
          </w:p>
          <w:p>
            <w:pPr>
              <w:pStyle w:val="720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  <w:r/>
          </w:p>
          <w:p>
            <w:pPr>
              <w:pStyle w:val="720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  <w:r/>
          </w:p>
          <w:p>
            <w:pPr>
              <w:pStyle w:val="721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</w:rPr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  <w:r/>
          </w:p>
        </w:tc>
      </w:tr>
    </w:tbl>
    <w:p>
      <w:pPr>
        <w:pStyle w:val="721"/>
        <w:ind w:left="4111"/>
        <w:jc w:val="center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721"/>
        <w:ind w:left="28"/>
        <w:jc w:val="center"/>
        <w:tabs>
          <w:tab w:val="left" w:pos="3685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sz w:val="28"/>
        </w:rPr>
      </w:pPr>
      <w:r>
        <w:rPr>
          <w:sz w:val="22"/>
        </w:rPr>
        <w:t xml:space="preserve">    </w:t>
      </w:r>
      <w:r/>
    </w:p>
    <w:p>
      <w:pPr>
        <w:pStyle w:val="721"/>
        <w:ind w:left="28"/>
        <w:jc w:val="center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sz w:val="28"/>
        </w:rPr>
      </w:pPr>
      <w:r>
        <w:rPr>
          <w:sz w:val="28"/>
        </w:rPr>
      </w:r>
      <w:r/>
    </w:p>
    <w:p>
      <w:pPr>
        <w:pStyle w:val="721"/>
        <w:ind w:left="28"/>
        <w:jc w:val="center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sz w:val="28"/>
        </w:rPr>
      </w:pPr>
      <w:r>
        <w:rPr>
          <w:sz w:val="28"/>
        </w:rPr>
      </w:r>
      <w:r/>
    </w:p>
    <w:p>
      <w:pPr>
        <w:pStyle w:val="731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b/>
          <w:sz w:val="36"/>
        </w:rPr>
      </w:pPr>
      <w:r>
        <w:rPr>
          <w:b/>
          <w:sz w:val="36"/>
        </w:rPr>
        <w:t xml:space="preserve">AVIS DE VALEUR VENALE</w:t>
      </w:r>
      <w:r/>
    </w:p>
    <w:p>
      <w:pPr>
        <w:pStyle w:val="731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Le présent Avis de Valeur Vénale n'est pas une expertise. Sa durée de validité est de 6 mois.</w:t>
      </w:r>
      <w:r/>
    </w:p>
    <w:p>
      <w:pPr>
        <w:pStyle w:val="731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</w:r>
      <w:r/>
    </w:p>
    <w:p>
      <w:pPr>
        <w:pStyle w:val="731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A  la demande de Mme SANZ EVELYNE demeurant :</w:t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665 Rue Jean Moulin 46300 GOURDON</w:t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Nous, PLEIN SUD</w:t>
      </w:r>
      <w:r>
        <w:rPr>
          <w:rFonts w:ascii="Arial" w:hAnsi="Arial" w:eastAsia="Arial"/>
          <w:b/>
          <w:sz w:val="22"/>
        </w:rPr>
        <w:t xml:space="preserve"> </w:t>
      </w:r>
      <w:r>
        <w:rPr>
          <w:rFonts w:ascii="Arial" w:hAnsi="Arial" w:eastAsia="Arial"/>
          <w:sz w:val="22"/>
        </w:rPr>
        <w:t xml:space="preserve">l'agence immo</w:t>
      </w:r>
      <w:r>
        <w:rPr>
          <w:rFonts w:ascii="Arial" w:hAnsi="Arial" w:eastAsia="Arial"/>
          <w:b/>
          <w:sz w:val="22"/>
        </w:rPr>
        <w:t xml:space="preserve">  </w:t>
      </w:r>
      <w:r>
        <w:rPr>
          <w:rFonts w:ascii="Arial" w:hAnsi="Arial" w:eastAsia="Arial"/>
          <w:sz w:val="22"/>
        </w:rPr>
        <w:t xml:space="preserve">avons visité les 23 Février 2024 et 28 mars 2024 et procédé à l’estimation du bien sis: </w:t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b/>
          <w:sz w:val="22"/>
        </w:rPr>
        <w:t xml:space="preserve">665 Rue Jean Moulin 46300 GOURDON</w:t>
      </w:r>
      <w:r/>
    </w:p>
    <w:p>
      <w:pPr>
        <w:pStyle w:val="732"/>
        <w:ind w:left="28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</w:r>
      <w:r/>
    </w:p>
    <w:p>
      <w:pPr>
        <w:pStyle w:val="732"/>
        <w:ind w:left="28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Situation et description : Hangar à l'état de ruine sur terrain de 7040m²</w:t>
      </w:r>
      <w:r/>
    </w:p>
    <w:p>
      <w:pPr>
        <w:pStyle w:val="732"/>
        <w:ind w:left="28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b/>
          <w:sz w:val="22"/>
        </w:rPr>
        <w:t xml:space="preserve">Cadastre : AE269 AE270 </w:t>
      </w:r>
      <w:r/>
    </w:p>
    <w:p>
      <w:pPr>
        <w:pStyle w:val="732"/>
        <w:ind w:left="28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b/>
          <w:sz w:val="22"/>
        </w:rPr>
        <w:tab/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szCs w:val="22"/>
          <w:highlight w:val="none"/>
        </w:rPr>
      </w:pPr>
      <w:r>
        <w:rPr>
          <w:rFonts w:ascii="Arial" w:hAnsi="Arial" w:eastAsia="Arial"/>
          <w:sz w:val="22"/>
        </w:rPr>
        <w:t xml:space="preserve">Ancien hangar d’une surface intérieure de 240 m² au sol sur 2 niveaux , construit en briques avec charpente traditionnelle en sapin et étage sur plancher hourdis.</w:t>
      </w:r>
      <w:r>
        <w:rPr>
          <w:rFonts w:ascii="Arial" w:hAnsi="Arial" w:eastAsia="Arial"/>
          <w:sz w:val="22"/>
        </w:rPr>
      </w:r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szCs w:val="22"/>
          <w:highlight w:val="none"/>
        </w:rPr>
      </w:pPr>
      <w:r>
        <w:rPr>
          <w:rFonts w:ascii="Arial" w:hAnsi="Arial" w:eastAsia="Arial"/>
          <w:sz w:val="22"/>
          <w:highlight w:val="none"/>
        </w:rPr>
        <w:t xml:space="preserve">Le hangar est détruit (incendie).</w:t>
      </w:r>
      <w:r>
        <w:rPr>
          <w:rFonts w:ascii="Arial" w:hAnsi="Arial" w:eastAsia="Arial"/>
          <w:sz w:val="22"/>
          <w:highlight w:val="none"/>
        </w:rPr>
      </w:r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highlight w:val="none"/>
        </w:rPr>
      </w:pPr>
      <w:r>
        <w:rPr>
          <w:rFonts w:ascii="Arial" w:hAnsi="Arial" w:eastAsia="Arial"/>
          <w:sz w:val="22"/>
        </w:rPr>
        <w:t xml:space="preserve">Les parcelles concernées sont en Zone U2s du PLU</w:t>
      </w:r>
      <w:r>
        <w:t xml:space="preserve">.</w:t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szCs w:val="22"/>
          <w:highlight w:val="none"/>
        </w:rPr>
      </w:pPr>
      <w:r>
        <w:rPr>
          <w:rFonts w:ascii="Arial" w:hAnsi="Arial" w:eastAsia="Arial"/>
          <w:sz w:val="22"/>
          <w:highlight w:val="none"/>
        </w:rPr>
        <w:t xml:space="preserve">Pour réaliser cet avis de valeur nous utiliserons 3 méthodes.</w:t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cs="Arial"/>
          <w:sz w:val="22"/>
          <w:szCs w:val="22"/>
          <w:highlight w:val="none"/>
        </w:rPr>
      </w:pPr>
      <w:r>
        <w:rPr>
          <w:rFonts w:ascii="Arial" w:hAnsi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  <w:highlight w:val="none"/>
        </w:rPr>
        <w:t xml:space="preserve">La méthode dite ‘par comparaison’ qui consiste à déduire la valeur d’un bien de l’analyse du prix obtenu de la vente, récente, d’autres biens aussi semblables que possible en termes de consistance, d’état, de situation. </w:t>
      </w:r>
      <w:r>
        <w:rPr>
          <w:rFonts w:ascii="Arial" w:hAnsi="Arial" w:cs="Arial"/>
          <w:sz w:val="22"/>
          <w:szCs w:val="22"/>
          <w:highlight w:val="none"/>
        </w:rPr>
      </w:r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</w:pPr>
      <w:r>
        <w:rPr>
          <w:rFonts w:ascii="Arial" w:hAnsi="Arial" w:eastAsia="Arial"/>
          <w:sz w:val="22"/>
          <w:highlight w:val="none"/>
        </w:rPr>
        <w:t xml:space="preserve">La méthode dite ‘par capitalisation’ qui consiste à capitaliser ou actualiser un revenu annuel, </w:t>
      </w:r>
      <w:r>
        <w:rPr>
          <w:rFonts w:ascii="Arial" w:hAnsi="Arial" w:eastAsia="Arial"/>
          <w:sz w:val="22"/>
          <w:highlight w:val="none"/>
        </w:rPr>
        <w:t xml:space="preserve">qu’il s’agisse d’un loyer constaté (bien occupé) ou d’une valeur locative (bien libre), </w:t>
      </w:r>
      <w:r>
        <w:rPr>
          <w:rFonts w:ascii="Arial" w:hAnsi="Arial" w:eastAsia="Arial"/>
          <w:sz w:val="22"/>
          <w:highlight w:val="none"/>
        </w:rPr>
        <w:t xml:space="preserve">pour parvenir à une valeur vénale. </w:t>
      </w:r>
      <w:r>
        <w:rPr>
          <w:rFonts w:ascii="Arial" w:hAnsi="Arial" w:eastAsia="Arial"/>
          <w:sz w:val="22"/>
          <w:highlight w:val="none"/>
        </w:rPr>
        <w:t xml:space="preserve">La méthode est fondée sur le constat que la valeur du bien est en relation avec le revenu qu’il procure (ou peut procurer).  </w:t>
      </w:r>
      <w:r/>
      <w:r>
        <w:rPr>
          <w:rFonts w:ascii="Arial" w:hAnsi="Arial" w:eastAsia="Arial"/>
          <w:sz w:val="22"/>
          <w:highlight w:val="none"/>
        </w:rPr>
      </w:r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cs="Arial"/>
          <w:sz w:val="22"/>
          <w:szCs w:val="22"/>
          <w:highlight w:val="none"/>
        </w:rPr>
      </w:pPr>
      <w:r>
        <w:rPr>
          <w:rFonts w:ascii="Arial" w:hAnsi="Arial" w:cs="Arial"/>
          <w:sz w:val="22"/>
          <w:szCs w:val="22"/>
        </w:rPr>
        <w:t xml:space="preserve">La méthode dite ‘de remplacement’ qui consiste à déterminer quel serait le coût de reconstruction.</w:t>
      </w:r>
      <w:r>
        <w:rPr>
          <w:rFonts w:ascii="Arial" w:hAnsi="Arial" w:cs="Arial"/>
          <w:sz w:val="22"/>
          <w:szCs w:val="22"/>
        </w:rPr>
      </w:r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szCs w:val="22"/>
          <w:highlight w:val="none"/>
        </w:rPr>
      </w:pPr>
      <w:r>
        <w:rPr>
          <w:rFonts w:ascii="Arial" w:hAnsi="Arial" w:eastAsia="Arial"/>
          <w:sz w:val="22"/>
          <w:szCs w:val="22"/>
          <w:highlight w:val="none"/>
        </w:rPr>
        <w:t xml:space="preserve">Nous utiliserons comme outil de référence la cote annuelle des valeurs vénales immobilières et foncières au 1er janvier 2024 des éditions CALLON MOULL</w:t>
      </w:r>
      <w:r>
        <w:rPr>
          <w:rFonts w:ascii="Arial" w:hAnsi="Arial" w:eastAsia="Arial"/>
          <w:sz w:val="22"/>
          <w:szCs w:val="22"/>
          <w:highlight w:val="none"/>
        </w:rPr>
        <w:t xml:space="preserve">É</w:t>
      </w:r>
      <w:r/>
      <w:r>
        <w:rPr>
          <w:rFonts w:ascii="Arial" w:hAnsi="Arial" w:eastAsia="Arial"/>
          <w:sz w:val="22"/>
          <w:szCs w:val="22"/>
        </w:rPr>
        <w:t xml:space="preserve">.</w:t>
      </w:r>
      <w:r/>
    </w:p>
    <w:p>
      <w:pPr>
        <w:pStyle w:val="732"/>
        <w:ind w:left="0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szCs w:val="22"/>
          <w:highlight w:val="none"/>
        </w:rPr>
      </w:pPr>
      <w:r>
        <w:rPr>
          <w:rFonts w:ascii="Arial" w:hAnsi="Arial" w:eastAsia="Arial"/>
          <w:sz w:val="22"/>
          <w:szCs w:val="22"/>
          <w:highlight w:val="none"/>
        </w:rPr>
      </w:r>
      <w:r>
        <w:rPr>
          <w:rFonts w:ascii="Arial" w:hAnsi="Arial" w:eastAsia="Arial"/>
          <w:sz w:val="22"/>
          <w:szCs w:val="22"/>
          <w:highlight w:val="none"/>
        </w:rPr>
      </w:r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</w:r>
      <w:r>
        <w:rPr>
          <w:rFonts w:ascii="Arial" w:hAnsi="Arial" w:eastAsia="Arial"/>
          <w:sz w:val="22"/>
          <w:szCs w:val="22"/>
        </w:rPr>
      </w:r>
    </w:p>
    <w:p>
      <w:pPr>
        <w:pStyle w:val="732"/>
        <w:ind w:left="0" w:firstLine="0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szCs w:val="22"/>
          <w:highlight w:val="none"/>
        </w:rPr>
      </w:pPr>
      <w:r>
        <w:rPr>
          <w:rFonts w:ascii="Arial" w:hAnsi="Arial" w:eastAsia="Arial"/>
          <w:sz w:val="22"/>
          <w:szCs w:val="22"/>
          <w:highlight w:val="none"/>
        </w:rPr>
        <w:t xml:space="preserve">Par Comparaison et après pondérations (pondération des surfaces selon l’étage, pondération pour vétusté</w:t>
      </w:r>
      <w:r>
        <w:rPr>
          <w:rFonts w:ascii="Arial" w:hAnsi="Arial" w:eastAsia="Arial"/>
          <w:sz w:val="22"/>
          <w:szCs w:val="22"/>
          <w:highlight w:val="none"/>
        </w:rPr>
        <w:t xml:space="preserve"> </w:t>
      </w:r>
      <w:r>
        <w:rPr>
          <w:rFonts w:ascii="Arial" w:hAnsi="Arial" w:eastAsia="Arial"/>
          <w:sz w:val="22"/>
          <w:szCs w:val="22"/>
          <w:highlight w:val="none"/>
        </w:rPr>
        <w:t xml:space="preserve">) </w:t>
      </w:r>
      <w:r>
        <w:rPr>
          <w:rFonts w:ascii="Arial" w:hAnsi="Arial" w:eastAsia="Arial"/>
          <w:sz w:val="22"/>
          <w:szCs w:val="22"/>
        </w:rPr>
      </w:r>
    </w:p>
    <w:p>
      <w:pPr>
        <w:pStyle w:val="732"/>
        <w:ind w:left="0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szCs w:val="22"/>
          <w:highlight w:val="none"/>
        </w:rPr>
      </w:pPr>
      <w:r>
        <w:rPr>
          <w:rFonts w:ascii="Arial" w:hAnsi="Arial" w:eastAsia="Arial"/>
          <w:sz w:val="22"/>
          <w:szCs w:val="22"/>
          <w:highlight w:val="none"/>
        </w:rPr>
        <w:t xml:space="preserve">La valeur vénale d’un hangar de 240 m² au sol x 2 niveaux </w:t>
      </w:r>
      <w:r>
        <w:rPr>
          <w:rFonts w:ascii="Arial" w:hAnsi="Arial" w:eastAsia="Arial"/>
          <w:sz w:val="22"/>
          <w:szCs w:val="22"/>
          <w:highlight w:val="none"/>
        </w:rPr>
      </w:r>
    </w:p>
    <w:p>
      <w:pPr>
        <w:pStyle w:val="732"/>
        <w:ind w:left="0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szCs w:val="22"/>
          <w:highlight w:val="none"/>
        </w:rPr>
      </w:pPr>
      <w:r>
        <w:rPr>
          <w:rFonts w:ascii="Arial" w:hAnsi="Arial" w:eastAsia="Arial"/>
          <w:sz w:val="22"/>
          <w:szCs w:val="22"/>
          <w:highlight w:val="none"/>
        </w:rPr>
        <w:t xml:space="preserve">pourrait être estimée </w:t>
      </w:r>
      <w:r>
        <w:rPr>
          <w:rFonts w:ascii="Arial" w:hAnsi="Arial" w:eastAsia="Arial"/>
          <w:sz w:val="22"/>
          <w:szCs w:val="22"/>
          <w:highlight w:val="none"/>
        </w:rPr>
      </w:r>
      <w:r/>
      <w:r>
        <w:rPr>
          <w:rFonts w:ascii="Arial" w:hAnsi="Arial" w:eastAsia="Arial"/>
          <w:sz w:val="22"/>
          <w:szCs w:val="22"/>
          <w:highlight w:val="none"/>
        </w:rPr>
        <w:t xml:space="preserve">à  environ </w:t>
      </w:r>
      <w:r>
        <w:rPr>
          <w:rFonts w:ascii="Arial" w:hAnsi="Arial" w:eastAsia="Arial"/>
          <w:sz w:val="22"/>
          <w:szCs w:val="22"/>
          <w:highlight w:val="none"/>
        </w:rPr>
        <w:t xml:space="preserve">108 000 €</w:t>
      </w:r>
      <w:r/>
      <w:r/>
      <w:r>
        <w:rPr>
          <w:rFonts w:ascii="Arial" w:hAnsi="Arial" w:eastAsia="Arial"/>
          <w:sz w:val="22"/>
          <w:szCs w:val="22"/>
          <w:highlight w:val="none"/>
        </w:rPr>
      </w:r>
    </w:p>
    <w:p>
      <w:pPr>
        <w:pStyle w:val="732"/>
        <w:ind w:left="0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</w:r>
      <w:r>
        <w:rPr>
          <w:rFonts w:ascii="Arial" w:hAnsi="Arial" w:eastAsia="Arial"/>
          <w:sz w:val="22"/>
          <w:szCs w:val="22"/>
        </w:rPr>
      </w:r>
    </w:p>
    <w:p>
      <w:pPr>
        <w:pStyle w:val="732"/>
        <w:ind w:left="0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szCs w:val="22"/>
          <w:highlight w:val="none"/>
        </w:rPr>
      </w:pPr>
      <w:r>
        <w:rPr>
          <w:rFonts w:ascii="Arial" w:hAnsi="Arial" w:eastAsia="Arial"/>
          <w:sz w:val="22"/>
          <w:szCs w:val="22"/>
          <w:highlight w:val="none"/>
        </w:rPr>
        <w:t xml:space="preserve">Par capitalisation </w:t>
      </w:r>
      <w:r>
        <w:rPr>
          <w:rFonts w:ascii="Arial" w:hAnsi="Arial" w:eastAsia="Arial"/>
          <w:sz w:val="22"/>
          <w:szCs w:val="22"/>
          <w:highlight w:val="none"/>
        </w:rPr>
        <w:t xml:space="preserve">et après pondérations (pondération des surfaces selon l’étage, pondération pour vétusté) </w:t>
      </w:r>
      <w:r/>
      <w:r>
        <w:rPr>
          <w:rFonts w:ascii="Arial" w:hAnsi="Arial" w:eastAsia="Arial"/>
          <w:sz w:val="22"/>
          <w:szCs w:val="22"/>
          <w:highlight w:val="none"/>
        </w:rPr>
      </w:r>
      <w:r>
        <w:rPr>
          <w:rFonts w:ascii="Arial" w:hAnsi="Arial" w:eastAsia="Arial"/>
          <w:sz w:val="22"/>
          <w:szCs w:val="22"/>
          <w:highlight w:val="none"/>
        </w:rPr>
      </w:r>
    </w:p>
    <w:p>
      <w:pPr>
        <w:pStyle w:val="732"/>
        <w:ind w:left="0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szCs w:val="22"/>
          <w:highlight w:val="none"/>
        </w:rPr>
      </w:pPr>
      <w:r>
        <w:rPr>
          <w:rFonts w:ascii="Arial" w:hAnsi="Arial" w:eastAsia="Arial"/>
          <w:sz w:val="22"/>
          <w:szCs w:val="22"/>
          <w:highlight w:val="none"/>
        </w:rPr>
      </w:r>
      <w:r>
        <w:rPr>
          <w:rFonts w:ascii="Arial" w:hAnsi="Arial" w:eastAsia="Arial"/>
          <w:sz w:val="22"/>
          <w:szCs w:val="22"/>
          <w:highlight w:val="none"/>
        </w:rPr>
        <w:t xml:space="preserve">La valeur vénale d’un hangar de 240 m² au sol sur 2 niveaux</w:t>
      </w:r>
      <w:r>
        <w:rPr>
          <w:rFonts w:ascii="Arial" w:hAnsi="Arial" w:eastAsia="Arial"/>
          <w:sz w:val="22"/>
          <w:szCs w:val="22"/>
        </w:rPr>
      </w:r>
    </w:p>
    <w:p>
      <w:pPr>
        <w:pStyle w:val="732"/>
        <w:ind w:left="0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  <w:highlight w:val="none"/>
        </w:rPr>
        <w:t xml:space="preserve">pourrait être estimée à environ  </w:t>
      </w:r>
      <w:r>
        <w:rPr>
          <w:rFonts w:ascii="Arial" w:hAnsi="Arial" w:eastAsia="Arial"/>
          <w:sz w:val="22"/>
          <w:szCs w:val="22"/>
          <w:highlight w:val="none"/>
        </w:rPr>
        <w:t xml:space="preserve">70 000 €</w:t>
      </w:r>
      <w:r>
        <w:rPr>
          <w:rFonts w:ascii="Arial" w:hAnsi="Arial" w:eastAsia="Arial"/>
          <w:sz w:val="22"/>
          <w:szCs w:val="22"/>
          <w:highlight w:val="none"/>
        </w:rPr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cs="Arial"/>
          <w:sz w:val="22"/>
          <w:szCs w:val="22"/>
          <w:highlight w:val="none"/>
        </w:rPr>
      </w:pPr>
      <w:r>
        <w:rPr>
          <w:rFonts w:ascii="Arial" w:hAnsi="Arial" w:cs="Arial"/>
          <w:sz w:val="22"/>
          <w:szCs w:val="22"/>
          <w:highlight w:val="none"/>
        </w:rPr>
        <w:t xml:space="preserve">Le coût de construction d’un tel hangar aujourd’hui pourrait être estimé à environ 250 000 €</w:t>
      </w:r>
      <w:r>
        <w:rPr>
          <w:rFonts w:ascii="Arial" w:hAnsi="Arial" w:cs="Arial"/>
          <w:sz w:val="22"/>
          <w:szCs w:val="22"/>
          <w:highlight w:val="none"/>
        </w:rPr>
      </w:r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  <w:highlight w:val="none"/>
        </w:rPr>
      </w:r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 xml:space="preserve">Avis de valeur vénale :</w:t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Compte tenu du cas particulier constitué par le fait que le hangar est à l’état de ruine</w:t>
      </w:r>
      <w:r>
        <w:rPr>
          <w:rFonts w:ascii="Arial" w:hAnsi="Arial" w:eastAsia="Arial"/>
          <w:sz w:val="22"/>
        </w:rPr>
        <w:t xml:space="preserve">, il nous a semblé plus juste de baser le présent avis sur la moyenne des 3 valeurs obtenues.</w:t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L'incidence de la valeur du support foncier est intégrée dans la valeur de marché globale ici exprimée.</w:t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Afin de procéder à l’accomplissement de notre mission, nous avons visité les lieux en détail, et nous avons par la suite, en notre agence, effectué une étude comparative et calculé les différentes valeurs.</w:t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A  la date du 29 mars 2024</w:t>
      </w:r>
      <w:r>
        <w:rPr>
          <w:rFonts w:ascii="Arial" w:hAnsi="Arial" w:eastAsia="Arial"/>
          <w:b/>
          <w:i/>
          <w:sz w:val="22"/>
        </w:rPr>
        <w:t xml:space="preserve">  le hangar</w:t>
      </w:r>
      <w:r>
        <w:rPr>
          <w:rFonts w:ascii="Arial" w:hAnsi="Arial" w:eastAsia="Arial"/>
          <w:sz w:val="22"/>
        </w:rPr>
        <w:t xml:space="preserve"> pourrait être estimé à </w:t>
      </w:r>
      <w:r>
        <w:rPr>
          <w:rFonts w:ascii="Arial" w:hAnsi="Arial" w:eastAsia="Arial"/>
          <w:b/>
          <w:sz w:val="22"/>
        </w:rPr>
        <w:t xml:space="preserve"> 143 000 € .</w:t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b/>
          <w:sz w:val="22"/>
        </w:rPr>
        <w:t xml:space="preserve">Fait à SOUILLAC,  29 mars 2024.</w:t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Pour l'Agence</w:t>
      </w:r>
      <w:r/>
    </w:p>
    <w:p>
      <w:pPr>
        <w:pStyle w:val="732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</w:rPr>
      </w:pPr>
      <w:r>
        <w:rPr>
          <w:rFonts w:ascii="Arial" w:hAnsi="Arial" w:eastAsia="Arial"/>
          <w:sz w:val="22"/>
        </w:rPr>
        <w:t xml:space="preserve">Thierry Deviers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1134" w:right="1134" w:bottom="1134" w:left="1134" w:header="284" w:footer="56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Bookman Old Style">
    <w:panose1 w:val="020606030506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CellMar>
        <w:left w:w="36" w:type="dxa"/>
        <w:top w:w="0" w:type="dxa"/>
        <w:right w:w="36" w:type="dxa"/>
        <w:bottom w:w="0" w:type="dxa"/>
      </w:tblCellMar>
      <w:tblLook w:val="04A0" w:firstRow="1" w:lastRow="0" w:firstColumn="1" w:lastColumn="0" w:noHBand="0" w:noVBand="1"/>
    </w:tblPr>
    <w:tblGrid>
      <w:gridCol w:w="4830"/>
      <w:gridCol w:w="4800"/>
    </w:tblGrid>
    <w:tr>
      <w:trPr/>
      <w:tc>
        <w:tcPr>
          <w:shd w:val="clear" w:color="auto" w:fill="auto"/>
          <w:tcW w:w="4830" w:type="dxa"/>
          <w:vAlign w:val="top"/>
          <w:textDirection w:val="lrTb"/>
          <w:noWrap w:val="false"/>
        </w:tcPr>
        <w:p>
          <w:pPr>
            <w:pStyle w:val="722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Impact" w:hAnsi="Impact" w:eastAsia="Impact"/>
              <w:sz w:val="14"/>
            </w:rPr>
          </w:pPr>
          <w:r>
            <w:rPr>
              <w:rFonts w:ascii="Impact" w:hAnsi="Impact" w:eastAsia="Impact"/>
              <w:sz w:val="18"/>
            </w:rPr>
            <w:t xml:space="preserve">PLEIN SUD</w:t>
          </w:r>
          <w:r>
            <w:rPr>
              <w:sz w:val="16"/>
            </w:rPr>
            <w:t xml:space="preserve"> </w:t>
          </w:r>
          <w:r>
            <w:rPr>
              <w:sz w:val="18"/>
            </w:rPr>
            <w:t xml:space="preserve">l'agence immo</w:t>
          </w:r>
          <w:r>
            <w:rPr>
              <w:rFonts w:ascii="Impact" w:hAnsi="Impact" w:eastAsia="Impact"/>
              <w:sz w:val="18"/>
            </w:rPr>
            <w:t xml:space="preserve"> </w:t>
          </w:r>
          <w:r/>
        </w:p>
        <w:p>
          <w:pPr>
            <w:pStyle w:val="722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4"/>
            </w:rPr>
          </w:pPr>
          <w:r>
            <w:rPr>
              <w:sz w:val="14"/>
            </w:rPr>
            <w:t xml:space="preserve">2 place Doussot - 46200 SOUILLAC</w:t>
          </w:r>
          <w:r/>
        </w:p>
        <w:p>
          <w:pPr>
            <w:pStyle w:val="722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</w:r>
          <w:r/>
        </w:p>
        <w:p>
          <w:pPr>
            <w:pStyle w:val="722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SAS au capital de 10 000 €  </w:t>
          </w:r>
          <w:r/>
        </w:p>
        <w:p>
          <w:pPr>
            <w:pStyle w:val="722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RCS Cahors 807 882 477 - Siret 807 882 47700019</w:t>
          </w:r>
          <w:r/>
        </w:p>
        <w:p>
          <w:pPr>
            <w:pStyle w:val="722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TVA FR11807882477</w:t>
          </w:r>
          <w:r/>
        </w:p>
        <w:p>
          <w:pPr>
            <w:pStyle w:val="722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Carte Transactions sur immeubles et fonds de commerce</w:t>
          </w:r>
          <w:r/>
        </w:p>
        <w:p>
          <w:pPr>
            <w:pStyle w:val="722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n°PCI 4601 2018 000 023 899 délivrée par la CCI du Lot</w:t>
          </w:r>
          <w:r/>
        </w:p>
        <w:p>
          <w:pPr>
            <w:pStyle w:val="722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la non détention de fonds exonère de garantie financière (article 38 l de la loi 2010-853)</w:t>
          </w:r>
          <w:r/>
        </w:p>
        <w:p>
          <w:pPr>
            <w:pStyle w:val="722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  <w:r/>
        </w:p>
      </w:tc>
      <w:tc>
        <w:tcPr>
          <w:shd w:val="clear" w:color="auto" w:fill="auto"/>
          <w:tcW w:w="4800" w:type="dxa"/>
          <w:vAlign w:val="top"/>
          <w:textDirection w:val="lrTb"/>
          <w:noWrap w:val="false"/>
        </w:tcPr>
        <w:p>
          <w:pPr>
            <w:pStyle w:val="722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<wp:simplePos x="0" y="0"/>
                    <wp:positionH relativeFrom="column">
                      <wp:posOffset>2110740</wp:posOffset>
                    </wp:positionH>
                    <wp:positionV relativeFrom="paragraph">
                      <wp:posOffset>66675</wp:posOffset>
                    </wp:positionV>
                    <wp:extent cx="877570" cy="922020"/>
                    <wp:effectExtent l="0" t="0" r="0" b="0"/>
                    <wp:wrapSquare wrapText="bothSides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877570" cy="9220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1000000;o:allowoverlap:true;o:allowincell:true;mso-position-horizontal-relative:text;margin-left:166.2pt;mso-position-horizontal:absolute;mso-position-vertical-relative:text;margin-top:5.2pt;mso-position-vertical:absolute;width:69.1pt;height:72.6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1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<wp:simplePos x="0" y="0"/>
                    <wp:positionH relativeFrom="column">
                      <wp:posOffset>24765</wp:posOffset>
                    </wp:positionH>
                    <wp:positionV relativeFrom="paragraph">
                      <wp:posOffset>76200</wp:posOffset>
                    </wp:positionV>
                    <wp:extent cx="796925" cy="845185"/>
                    <wp:effectExtent l="0" t="0" r="0" b="0"/>
                    <wp:wrapSquare wrapText="bothSides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796925" cy="8451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1000001;o:allowoverlap:true;o:allowincell:true;mso-position-horizontal-relative:text;margin-left:1.9pt;mso-position-horizontal:absolute;mso-position-vertical-relative:text;margin-top:6.0pt;mso-position-vertical:absolute;width:62.8pt;height:66.5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2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<wp:simplePos x="0" y="0"/>
                    <wp:positionH relativeFrom="column">
                      <wp:posOffset>862965</wp:posOffset>
                    </wp:positionH>
                    <wp:positionV relativeFrom="paragraph">
                      <wp:posOffset>228600</wp:posOffset>
                    </wp:positionV>
                    <wp:extent cx="1249680" cy="497205"/>
                    <wp:effectExtent l="0" t="0" r="0" b="0"/>
                    <wp:wrapSquare wrapText="bothSides"/>
                    <wp:docPr id="3" name="_tx_id_3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3"/>
                            <pic:cNvPicPr/>
                            <pic:nvPr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249680" cy="4972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z-index:1000002;o:allowoverlap:true;o:allowincell:true;mso-position-horizontal-relative:text;margin-left:68.0pt;mso-position-horizontal:absolute;mso-position-vertical-relative:text;margin-top:18.0pt;mso-position-vertical:absolute;width:98.4pt;height:39.1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3" o:title=""/>
                  </v:shape>
                </w:pict>
              </mc:Fallback>
            </mc:AlternateContent>
          </w:r>
          <w:r/>
        </w:p>
      </w:tc>
    </w:tr>
  </w:tbl>
  <w:p>
    <w:pPr>
      <w:pStyle w:val="720"/>
      <w:jc w:val="right"/>
      <w:rPr>
        <w:sz w:val="12"/>
      </w:rPr>
    </w:pPr>
    <w:r>
      <w:rPr>
        <w:sz w:val="12"/>
      </w:rPr>
      <w:t xml:space="preserve">page </w:t>
    </w:r>
    <w:r>
      <w:rPr>
        <w:sz w:val="12"/>
      </w:rPr>
      <w:fldChar w:fldCharType="begin"/>
    </w:r>
    <w:r>
      <w:rPr>
        <w:sz w:val="12"/>
      </w:rPr>
      <w:instrText xml:space="preserve"> PAGE \* Arabic \* MERGEFORMAT </w:instrText>
    </w:r>
    <w:r>
      <w:rPr>
        <w:sz w:val="12"/>
      </w:rPr>
      <w:fldChar w:fldCharType="separate"/>
    </w:r>
    <w:r>
      <w:rPr>
        <w:sz w:val="12"/>
      </w:rPr>
      <w:t xml:space="preserve">1</w:t>
    </w:r>
    <w:r>
      <w:rPr>
        <w:sz w:val="12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2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1"/>
    <w:next w:val="72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10"/>
    <w:link w:val="729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21"/>
    <w:next w:val="72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21"/>
    <w:next w:val="72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1"/>
    <w:next w:val="72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1"/>
    <w:next w:val="72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1"/>
    <w:next w:val="72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1"/>
    <w:next w:val="72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1"/>
    <w:next w:val="72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2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21"/>
    <w:next w:val="72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721"/>
    <w:next w:val="72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721"/>
    <w:next w:val="72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1"/>
    <w:next w:val="72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10"/>
    <w:link w:val="723"/>
    <w:uiPriority w:val="99"/>
  </w:style>
  <w:style w:type="paragraph" w:styleId="43">
    <w:name w:val="Footer"/>
    <w:basedOn w:val="72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2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72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721"/>
    <w:next w:val="72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1"/>
    <w:next w:val="72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1"/>
    <w:next w:val="72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1"/>
    <w:next w:val="72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1"/>
    <w:next w:val="72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1"/>
    <w:next w:val="72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1"/>
    <w:next w:val="72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1"/>
    <w:next w:val="72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1"/>
    <w:next w:val="72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1"/>
    <w:next w:val="721"/>
    <w:uiPriority w:val="99"/>
    <w:unhideWhenUsed/>
    <w:pPr>
      <w:spacing w:after="0" w:afterAutospacing="0"/>
    </w:pPr>
  </w:style>
  <w:style w:type="paragraph" w:styleId="720" w:default="1">
    <w:name w:val="[Normal]"/>
    <w:next w:val="720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721">
    <w:name w:val="Normal"/>
    <w:next w:val="721"/>
    <w:qFormat/>
    <w:pPr>
      <w:ind w:left="0" w:right="0" w:firstLine="0"/>
      <w:jc w:val="left"/>
      <w:spacing w:before="0" w:after="0" w:line="240" w:lineRule="auto"/>
    </w:pPr>
    <w:rPr>
      <w:rFonts w:ascii="Arial" w:hAnsi="Arial" w:eastAsia="Arial"/>
      <w:b w:val="0"/>
      <w:i w:val="0"/>
      <w:strike w:val="0"/>
      <w:color w:val="auto"/>
      <w:sz w:val="20"/>
      <w:shd w:val="clear" w:color="auto" w:fill="auto"/>
    </w:rPr>
  </w:style>
  <w:style w:type="paragraph" w:styleId="722">
    <w:name w:val="Détail"/>
    <w:basedOn w:val="721"/>
    <w:next w:val="722"/>
    <w:qFormat/>
  </w:style>
  <w:style w:type="paragraph" w:styleId="723">
    <w:name w:val="Header"/>
    <w:basedOn w:val="721"/>
    <w:next w:val="723"/>
    <w:qFormat/>
    <w:pPr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</w:rPr>
  </w:style>
  <w:style w:type="paragraph" w:styleId="724">
    <w:name w:val="Type de détail"/>
    <w:basedOn w:val="721"/>
    <w:next w:val="722"/>
    <w:qFormat/>
    <w:rPr>
      <w:b/>
      <w:u w:val="single"/>
    </w:rPr>
  </w:style>
  <w:style w:type="paragraph" w:styleId="725">
    <w:name w:val="Titre arial 14 pts gras"/>
    <w:basedOn w:val="721"/>
    <w:next w:val="725"/>
    <w:qFormat/>
    <w:rPr>
      <w:b/>
      <w:sz w:val="28"/>
    </w:rPr>
  </w:style>
  <w:style w:type="paragraph" w:styleId="726">
    <w:name w:val="Enumeration arial 10 pts"/>
    <w:basedOn w:val="721"/>
    <w:next w:val="726"/>
    <w:qFormat/>
    <w:pPr>
      <w:numPr>
        <w:ilvl w:val="0"/>
        <w:numId w:val="1"/>
      </w:numPr>
      <w:ind w:left="360" w:hanging="360"/>
    </w:pPr>
  </w:style>
  <w:style w:type="paragraph" w:styleId="727">
    <w:name w:val="align droite 2cm"/>
    <w:basedOn w:val="721"/>
    <w:next w:val="727"/>
    <w:qFormat/>
  </w:style>
  <w:style w:type="paragraph" w:styleId="728">
    <w:name w:val="Adresse"/>
    <w:basedOn w:val="721"/>
    <w:next w:val="728"/>
    <w:qFormat/>
    <w:pPr>
      <w:ind w:left="5103"/>
    </w:pPr>
  </w:style>
  <w:style w:type="paragraph" w:styleId="729">
    <w:name w:val="Heading 2"/>
    <w:basedOn w:val="721"/>
    <w:next w:val="721"/>
    <w:qFormat/>
    <w:pPr>
      <w:ind w:left="5103"/>
      <w:jc w:val="center"/>
      <w:spacing w:line="360" w:lineRule="auto"/>
    </w:pPr>
    <w:rPr>
      <w:rFonts w:ascii="Bookman Old Style" w:hAnsi="Bookman Old Style" w:eastAsia="Bookman Old Style"/>
      <w:b/>
      <w:sz w:val="24"/>
    </w:rPr>
  </w:style>
  <w:style w:type="paragraph" w:styleId="730">
    <w:name w:val="Body Text 2"/>
    <w:basedOn w:val="721"/>
    <w:next w:val="730"/>
    <w:qFormat/>
    <w:pPr>
      <w:jc w:val="both"/>
    </w:pPr>
    <w:rPr>
      <w:rFonts w:ascii="Times New Roman" w:hAnsi="Times New Roman" w:eastAsia="Times New Roman"/>
      <w:sz w:val="22"/>
    </w:rPr>
  </w:style>
  <w:style w:type="paragraph" w:styleId="731">
    <w:name w:val="Standard"/>
    <w:basedOn w:val="720"/>
    <w:next w:val="731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732">
    <w:name w:val="Corps de texte"/>
    <w:basedOn w:val="731"/>
    <w:next w:val="732"/>
    <w:qFormat/>
    <w:pPr>
      <w:spacing w:after="120"/>
    </w:pPr>
  </w:style>
  <w:style w:type="character" w:styleId="937" w:default="1">
    <w:name w:val="Default Paragraph Font"/>
    <w:uiPriority w:val="1"/>
    <w:semiHidden/>
    <w:unhideWhenUsed/>
  </w:style>
  <w:style w:type="numbering" w:styleId="938" w:default="1">
    <w:name w:val="No List"/>
    <w:uiPriority w:val="99"/>
    <w:semiHidden/>
    <w:unhideWhenUsed/>
  </w:style>
  <w:style w:type="table" w:styleId="9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1</cp:revision>
  <dcterms:modified xsi:type="dcterms:W3CDTF">2024-03-29T07:51:13Z</dcterms:modified>
</cp:coreProperties>
</file>