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988"/>
        <w:gridCol w:w="7755"/>
      </w:tblGrid>
      <w:tr>
        <w:tc>
          <w:tcPr>
            <w:tcW w:w="2988" w:type="dxa"/>
            <w:shd w:val="clear" w:fill="auto"/>
            <w:vAlign w:val="top"/>
          </w:tcPr>
          <w:p>
            <w:pPr>
              <w:pStyle w:val="[Normal]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32"/>
              </w:rPr>
              <w:t xml:space="preserve"> SUD1566</w:t>
            </w:r>
          </w:p>
        </w:tc>
        <w:tc>
          <w:tcPr>
            <w:tcW w:w="775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400080"/>
                <w:sz w:val="32"/>
              </w:rPr>
            </w:pPr>
            <w:r>
              <w:rPr>
                <w:b w:val="on"/>
                <w:color w:val="400080"/>
                <w:sz w:val="28"/>
              </w:rPr>
              <w:t xml:space="preserve">164 850 €</w:t>
            </w:r>
            <w:r>
              <w:rPr>
                <w:b w:val="on"/>
                <w:color w:val="400080"/>
                <w:sz w:val="32"/>
              </w:rPr>
              <w:t xml:space="preserve"> H.A.I.</w:t>
            </w:r>
          </w:p>
          <w:p>
            <w:pPr>
              <w:pStyle w:val="[Normal]"/>
              <w:jc w:val="center"/>
              <w:rPr>
                <w:b w:val="on"/>
                <w:color w:val="400080"/>
                <w:sz w:val="16"/>
              </w:rPr>
            </w:pPr>
            <w:r>
              <w:rPr>
                <w:b w:val="on"/>
                <w:color w:val="400080"/>
                <w:sz w:val="16"/>
              </w:rPr>
              <w:t xml:space="preserve">Honoraires d'Agence Inclus à la charge de l'acquéreur : 5,00% </w:t>
            </w:r>
          </w:p>
          <w:p>
            <w:pPr>
              <w:pStyle w:val="[Normal]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16"/>
              </w:rPr>
              <w:t xml:space="preserve">Soit 157 000 €  Honoraires d'Agence exclus 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  <w:shd w:val="clear" w:fill="000080"/>
              </w:rPr>
            </w:pPr>
            <w:r>
              <w:rPr>
                <w:b w:val="on"/>
                <w:color w:val="FFFFFF"/>
                <w:u w:val="single"/>
                <w:shd w:val="clear" w:fill="FF8000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28"/>
                <w:u w:val="single"/>
              </w:rPr>
            </w:pPr>
            <w:r>
              <w:rPr>
                <w:b w:val="on"/>
                <w:color w:val="FFFFFF"/>
                <w:sz w:val="28"/>
                <w:u w:val="single"/>
              </w:rPr>
              <w:t xml:space="preserve">CRESSENSAC-SARRAZAC, Maison de plain-pied  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sz w:val="28"/>
                <w:u w:val="single"/>
              </w:rPr>
              <w:t xml:space="preserve">3 chambres et garage sur terrain clos de 1034 m².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MARTEL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Campagne non isolée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 12.76m², 11m² &amp; 9.80m²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4.27m²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ouverte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à vivre 44.62m²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5.23m²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couverte 15m²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1.80m²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indépendant 22m²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Local (cellier) 7m²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222,00 KWHep/m²an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11,00 Kgco2/m²an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Date de réalisation DPE 01/06/2021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poêle bois installé en 2022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 5km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Dépendance (garage)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Golf 12km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20km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 fibre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Place de Parking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 1034m²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Portail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Potager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Isolation récente (2023)                 </w:t>
            </w:r>
            <w:r>
              <w:drawing>
                <wp:inline distT="0" distB="0" distL="0" distR="0">
                  <wp:extent cx="1177290" cy="107442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177290" cy="108013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429125" cy="310515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29125" cy="3105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328420" cy="84264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42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88265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82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8515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51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Sur son terrain plat et clos de 1034m² avec portail et garage indépendant, cette charmante contemporaine de 2004 distribue de plain-pied : Entrée dans la vaste pièce à vivre de 45m² (dont cuisine ouverte de 9m² avec bar), terrasse couverte. En partie nuit : Couloir, 3 chambres, 1 salle de bain et 1 wc indépendant.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Double vitrage, poêle bois installé en 2022, isolation refaite en 2023.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Jardin clos. Garage indépendant. Proche commerces et services.</w:t>
                  </w:r>
                </w:p>
                <w:p>
                  <w:pPr>
                    <w:pStyle w:val="[Normal]"/>
                  </w:pPr>
                  <w:r>
                    <w:rPr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89 m²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 1 034  m²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3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du séjour</w:t>
                  </w:r>
                  <w:r>
                    <w:t xml:space="preserve"> : 45 m²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040"/>
              <w:gridCol w:w="4692"/>
            </w:tblGrid>
            <w:tr>
              <w:tc>
                <w:tcPr>
                  <w:tcW w:w="304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469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04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Bon	</w:t>
                  </w:r>
                  <w:r>
                    <w:rPr>
                      <w:b w:val="on"/>
                      <w:u w:val="single"/>
                    </w:rPr>
                    <w:t xml:space="preserve">Année de construction</w:t>
                  </w:r>
                  <w:r>
                    <w:t xml:space="preserve"> : 2004</w:t>
                  </w:r>
                </w:p>
              </w:tc>
              <w:tc>
                <w:tcPr>
                  <w:tcW w:w="4692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b w:val="on"/>
                    </w:rPr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rPr>
                      <w:b w:val="on"/>
                    </w:rPr>
                    <w:t xml:space="preserve"> : </w:t>
                  </w:r>
                  <w:r>
                    <w:t xml:space="preserve">Traditionnel</w:t>
                  </w:r>
                  <w:r>
                    <w:rPr>
                      <w:b w:val="on"/>
                    </w:rPr>
                    <w:t xml:space="preserve">  </w:t>
                  </w:r>
                  <w:r>
                    <w:rPr>
                      <w:b w:val="on"/>
                      <w:u w:val="single"/>
                    </w:rPr>
                    <w:t xml:space="preserve">Taxe Fonc.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760 €</w:t>
                  </w:r>
                </w:p>
                <w:p>
                  <w:pPr>
                    <w:pStyle w:val="Normal"/>
                    <w:rPr>
                      <w:b w:val="on"/>
                      <w:u w:val="single"/>
                    </w:rPr>
                  </w:pPr>
                  <w:r>
                    <w:rPr>
                      <w:b w:val="on"/>
                      <w:u w:val="single"/>
                    </w:rPr>
                    <w:t xml:space="preserve">Chauffage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Electricité et bois</w:t>
                  </w:r>
                </w:p>
              </w:tc>
            </w:tr>
          </w:tbl>
          <w:p/>
        </w:tc>
      </w:tr>
    </w:tbl>
    <w:p>
      <w:pPr>
        <w:pStyle w:val="[Normal]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93"/>
        <w:gridCol w:w="2490"/>
        <w:gridCol w:w="2775"/>
      </w:tblGrid>
      <w:tr>
        <w:tc>
          <w:tcPr>
            <w:tcW w:w="5493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48"/>
              </w:rPr>
            </w:pPr>
            <w:r>
              <w:rPr>
                <w:rFonts w:ascii="Impact" w:hAnsi="Impact" w:eastAsia="Impact"/>
                <w:color w:val="40008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400080"/>
                <w:sz w:val="36"/>
              </w:rPr>
            </w:pPr>
            <w:r>
              <w:rPr>
                <w:color w:val="400080"/>
                <w:sz w:val="36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0"/>
              </w:rPr>
            </w:pPr>
            <w:r>
              <w:rPr>
                <w:rFonts w:ascii="Impact" w:hAnsi="Impact" w:eastAsia="Impact"/>
                <w:color w:val="400080"/>
                <w:sz w:val="20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2"/>
              </w:rPr>
            </w:pPr>
            <w:r>
              <w:rPr>
                <w:rFonts w:ascii="Impact" w:hAnsi="Impact" w:eastAsia="Impact"/>
                <w:color w:val="400080"/>
                <w:sz w:val="32"/>
              </w:rPr>
              <w:t xml:space="preserve">www.pleinsudimmo.fr</w:t>
            </w:r>
          </w:p>
          <w:p>
            <w:pPr>
              <w:pStyle w:val="[Normal]"/>
              <w:jc w:val="center"/>
              <w:rPr>
                <w:color w:val="400080"/>
                <w:shd w:val="clear" w:fill="FFFFFF"/>
              </w:rPr>
            </w:pPr>
            <w:r>
              <w:rPr>
                <w:rFonts w:ascii="Impact" w:hAnsi="Impact" w:eastAsia="Impact"/>
                <w:color w:val="400080"/>
                <w:sz w:val="22"/>
              </w:rPr>
              <w:t xml:space="preserve">contact@pleinsudimmo.fr  - 06 24 22 26 21</w:t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rPr>
                <w:color w:val="400080"/>
                <w:sz w:val="12"/>
                <w:shd w:val="clear" w:fill="FFFFFF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fill="FFFFFF"/>
              </w:rPr>
              <w:t xml:space="preserve"> </w:t>
            </w:r>
            <w:r>
              <w:rPr>
                <w:color w:val="400080"/>
                <w:sz w:val="12"/>
              </w:rPr>
              <w:t xml:space="preserve">PCI 4601 2018 000 023 899 délivrée par la CCI du Lot</w:t>
            </w:r>
          </w:p>
        </w:tc>
        <w:tc>
          <w:tcPr>
            <w:tcW w:w="249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72390</wp:posOffset>
                  </wp:positionV>
                  <wp:extent cx="1169035" cy="1146810"/>
                  <wp:wrapSquare wrapText="bothSides"/>
                  <wp:docPr id="16" name="_tx_id_1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/>
                        </pic:nvPicPr>
                        <pic:blipFill>
                          <a:blip r:embed="rId00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504950" cy="1209675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106930"/>
                  <wp:docPr id="8" name="_tx_id_8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9" name="_tx_id_9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128520"/>
                  <wp:docPr id="10" name="_tx_id_10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12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1" name="_tx_id_1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2" name="_tx_id_1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3" name="_tx_id_1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5" name="_tx_id_1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/>
                        </pic:nvPicPr>
                        <pic:blipFill>
                          <a:blip r:embed="rId000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sz w:val="22"/>
          <w:shd w:val="clear" w:fill="FFFFFF"/>
        </w:rPr>
      </w:pPr>
    </w:p>
    <w:sectPr>
      <w:headerReference w:type="default" r:id="rId00021"/>
      <w:footerReference w:type="default" r:id="rId00022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4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21" Type="http://schemas.openxmlformats.org/officeDocument/2006/relationships/header" Target="header0001.xml"/>
	<Relationship Id="rId00022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20" Type="http://schemas.openxmlformats.org/officeDocument/2006/relationships/image" Target="media/image001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7" Type="http://schemas.openxmlformats.org/officeDocument/2006/relationships/image" Target="media/image0013.jpg"/>
	<Relationship Id="rId00018" Type="http://schemas.openxmlformats.org/officeDocument/2006/relationships/image" Target="media/image0014.jpg"/>
	<Relationship Id="rId00019" Type="http://schemas.openxmlformats.org/officeDocument/2006/relationships/image" Target="media/image0015.jpg"/>
	<Relationship Id="rId00023" Type="http://schemas.openxmlformats.org/officeDocument/2006/relationships/numbering" Target="numbering.xml"/>
	<Relationship Id="rId00024" Type="http://schemas.openxmlformats.org/officeDocument/2006/relationships/fontTable" Target="fontTable.xml"/>
	<Relationship Id="rId00025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