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688"/>
        <w:gridCol w:w="2970"/>
        <w:gridCol w:w="5112"/>
      </w:tblGrid>
      <w:tr>
        <w:tc>
          <w:tcPr>
            <w:tcW w:w="2688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32"/>
              </w:rPr>
              <w:t xml:space="preserve"> GD2011</w:t>
            </w:r>
          </w:p>
        </w:tc>
        <w:tc>
          <w:tcPr>
            <w:tcW w:w="2970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400080"/>
                <w:sz w:val="32"/>
              </w:rPr>
            </w:pPr>
            <w:r>
              <w:rPr>
                <w:b w:val="on"/>
                <w:color w:val="400080"/>
                <w:sz w:val="28"/>
              </w:rPr>
              <w:t xml:space="preserve">270 000 €</w:t>
            </w:r>
            <w:r>
              <w:rPr>
                <w:b w:val="on"/>
                <w:color w:val="400080"/>
                <w:sz w:val="32"/>
              </w:rPr>
              <w:t xml:space="preserve"> H.A.I.</w:t>
            </w:r>
          </w:p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Honoraires d'Agence Inclus 5,56%</w:t>
            </w:r>
          </w:p>
        </w:tc>
        <w:tc>
          <w:tcPr>
            <w:tcW w:w="511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8"/>
              </w:rPr>
            </w:pPr>
            <w:r>
              <w:rPr>
                <w:b w:val="on"/>
                <w:color w:val="8000FF"/>
              </w:rPr>
              <w:t xml:space="preserve">EXCLUSIVITE - SECTEUR GOURDON - Enclos de caractère en pierre sur 1482 m² proche commerces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  <w:u w:val="single"/>
              </w:rPr>
              <w:t xml:space="preserve">Région GOURDON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Appartement incluant cuisine, chambre 12 m² en rdc + salle de bains, étage, 2 chambres wc + lavabo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16 m² avec salle d'eau privative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30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37 m² cuisine ouverte incluse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8 m² et 20 m² avec wc lavabo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lavabo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Atelier 27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Etable ancienne petite porcherie en pierre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 27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en cours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poêle granulés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Cheminée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Place de Parking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                 ~graphe_consommation_energetique_bien_60~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2486025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2486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7912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791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74866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74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74866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74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EXCLUSIVITE - Dans un village dynamique proche de tous commerces, bien implanté sur 1482 m² arborés, ce charmant Enclos de caractère en pierre comprend une agréable et spacieuse maison d'habitation entourée de diverses dépendances  - beaux espaces de vie et appartement indépendant.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La Maison. RDC. Entrée sur salle à manger de 37 m² avec espace cuisine ouverte, agréable séjour de 30 m², chambre de 16 m² avec salle d'eau privative de 8 m², wc ; appartement indépendant comprenant partie cuisine de 12 m², chambre de 13 m², salle de bains de 7 m² avec wc. Etage. 2 chambres de 8 m² et 20 m² (avec wc et lavabo).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Les Dépendances.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Ancienne petite porcherie en pierre.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Grange de 27 m². Atelier de 27 m².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Chauffage bois (poêle granulés). Double vitrage. Tout-à-l'égout.</w:t>
                  </w:r>
                </w:p>
                <w:p>
                  <w:pPr>
                    <w:pStyle w:val="[Normal]"/>
                  </w:pPr>
                  <w:r>
                    <w:rPr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150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1 482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30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040"/>
              <w:gridCol w:w="4692"/>
            </w:tblGrid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1780</w:t>
                  </w: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Pierre</w:t>
                  </w:r>
                  <w:r>
                    <w:rPr>
                      <w:b w:val="on"/>
                    </w:rPr>
                    <w:t xml:space="preserve"> 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950 €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/>
        </w:tc>
      </w:tr>
    </w:tbl>
    <w:p>
      <w:pPr>
        <w:pStyle w:val="[Normal]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93"/>
        <w:gridCol w:w="2490"/>
        <w:gridCol w:w="2775"/>
      </w:tblGrid>
      <w:tr>
        <w:tc>
          <w:tcPr>
            <w:tcW w:w="5493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4"/>
                <w:shd w:val="clear" w:fill="FFFFFF"/>
              </w:rPr>
              <w:t xml:space="preserve">Rcs Cahors 807 882 477 Carte professionnelle 46-1004 Préfecture du Lot</w:t>
            </w:r>
          </w:p>
        </w:tc>
        <w:tc>
          <w:tcPr>
            <w:tcW w:w="249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12700</wp:posOffset>
                  </wp:positionV>
                  <wp:extent cx="1445895" cy="1238250"/>
                  <wp:wrapSquare wrapText="bothSides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97866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19"/>
      <w:footerReference w:type="default" r:id="rId00020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9" Type="http://schemas.openxmlformats.org/officeDocument/2006/relationships/header" Target="header0001.xml"/>
	<Relationship Id="rId00020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8" Type="http://schemas.openxmlformats.org/officeDocument/2006/relationships/image" Target="media/image001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21" Type="http://schemas.openxmlformats.org/officeDocument/2006/relationships/numbering" Target="numbering.xml"/>
	<Relationship Id="rId00022" Type="http://schemas.openxmlformats.org/officeDocument/2006/relationships/fontTable" Target="fontTable.xml"/>
	<Relationship Id="rId0002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