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SANS EXCLUSIVITE N° </w:t>
      </w:r>
      <w:r>
        <w:rPr>
          <w:rFonts w:ascii="Times New Roman" w:hAnsi="Times New Roman" w:eastAsia="Times New Roman"/>
          <w:b w:val="on"/>
          <w:color w:val="0000FF"/>
          <w:sz w:val="36"/>
        </w:rPr>
        <w:t xml:space="preserve">1 558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LAPLUIE DANIEL,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TRAVET DOMINIQUE,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78 Rue de la bascule à 46330 SAINT-MARTIN-LABOUVAL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Maison d'habitation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sise  78 Rue de la bascule   46330</w:t>
      </w:r>
      <w:r>
        <w:rPr>
          <w:rFonts w:ascii="Times New Roman" w:hAnsi="Times New Roman" w:eastAsia="Times New Roman"/>
          <w:sz w:val="22"/>
        </w:rPr>
        <w:t xml:space="preserve"> </w:t>
      </w:r>
      <w:r>
        <w:rPr>
          <w:rFonts w:ascii="Times New Roman" w:hAnsi="Times New Roman" w:eastAsia="Times New Roman"/>
          <w:b w:val="on"/>
          <w:sz w:val="28"/>
        </w:rPr>
        <w:t xml:space="preserve">SAINT-MARTIN-LABOUVAL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AB154 AB263 AB265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 CINQUANTE-CINQ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€ 455 000 €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20 000 €    TTC soit 4,40%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475 000 €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18 juillet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sz w:val="18"/>
        </w:rPr>
      </w:pPr>
      <w:r>
        <w:rPr>
          <w:sz w:val="18"/>
        </w:rPr>
        <w:t xml:space="preserve">Monsieur LAPLUIE DANIEL demeurant 78 Rue de la Bascule à 46330 SAINT-MARTIN-LABOUVAL</w:t>
      </w:r>
    </w:p>
    <w:p>
      <w:pPr>
        <w:pStyle w:val="[Normal]"/>
        <w:rPr>
          <w:sz w:val="18"/>
        </w:rPr>
      </w:pPr>
      <w:r>
        <w:rPr>
          <w:sz w:val="18"/>
        </w:rPr>
        <w:t xml:space="preserve">Monsieur TRAVET DOMINIQUE demeurant 78 Rue de la bascule à 46330 SAINT-MARTIN-LABOUVAL</w:t>
      </w:r>
    </w:p>
    <w:p>
      <w:pPr>
        <w:pStyle w:val="[Normal]"/>
        <w:rPr>
          <w:sz w:val="18"/>
        </w:rPr>
      </w:pPr>
    </w:p>
    <w:p>
      <w:pPr>
        <w:pStyle w:val="[Normal]"/>
        <w:rPr>
          <w:sz w:val="18"/>
        </w:rPr>
      </w:pPr>
    </w:p>
    <w:p>
      <w:pPr>
        <w:pStyle w:val="[Normal]"/>
        <w:rPr>
          <w:sz w:val="18"/>
        </w:rPr>
      </w:pP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4,40% TTC soit 20 000 €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 juillet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