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 et de l'agence BOURIANE IMMOBILIER - 15 allées de la république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BERTRAND DANGLADE et Madame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GD1967</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Maison d'habitation, garage et piscine sur terrain de  6701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Situation : 195 ROUTE DES ARNAUDIERES</w:t>
      </w:r>
      <w:r>
        <w:rPr>
          <w:rFonts w:ascii="Arial" w:hAnsi="Arial" w:eastAsia="Arial"/>
          <w:b w:val="on"/>
          <w:sz w:val="20"/>
        </w:rPr>
        <w:t xml:space="preserve"> </w:t>
      </w:r>
      <w:r>
        <w:rPr>
          <w:rFonts w:ascii="Arial" w:hAnsi="Arial" w:eastAsia="Arial"/>
          <w:b w:val="on"/>
          <w:sz w:val="22"/>
        </w:rPr>
        <w:t xml:space="preserve">46350 LAMOTHE-FENELON,</w:t>
      </w:r>
      <w:r>
        <w:rPr>
          <w:rFonts w:ascii="Arial" w:hAnsi="Arial" w:eastAsia="Arial"/>
          <w:b w:val="on"/>
          <w:sz w:val="20"/>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Cadastré C803 C1193 C1195  C1197 C1198 C1199</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Mme AMANDINE DESTREL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8 route du Roseix  19130 SAINT-CYR-LA-ROCHE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265 000 Euros Honoraires d'Agence Inclus, ( Deux cent soixante cinq mille Euros ) soit 250 000 euros net vendeur et 15 000 euros TTC pour les honoraires à répartir entre les agences,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15 aout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265 000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265 000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