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4192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419225"/>
                    </a:xfrm>
                    <a:prstGeom prst="rect">
                      <a:avLst/>
                    </a:prstGeom>
                  </pic:spPr>
                </pic:pic>
              </a:graphicData>
            </a:graphic>
          </wp:inline>
        </w:drawing>
      </w:r>
      <w:r>
        <w:rPr>
          <w:sz w:val="22"/>
        </w:rPr>
        <w:t xml:space="preserve">  </w:t>
      </w:r>
      <w:r>
        <w:drawing>
          <wp:inline distT="0" distB="0" distL="0" distR="0">
            <wp:extent cx="1905000" cy="13811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381125"/>
                    </a:xfrm>
                    <a:prstGeom prst="rect">
                      <a:avLst/>
                    </a:prstGeom>
                  </pic:spPr>
                </pic:pic>
              </a:graphicData>
            </a:graphic>
          </wp:inline>
        </w:drawing>
      </w:r>
      <w:r>
        <w:rPr>
          <w:sz w:val="22"/>
        </w:rPr>
        <w:t xml:space="preserve">  </w:t>
      </w:r>
      <w:r>
        <w:drawing>
          <wp:inline distT="0" distB="0" distL="0" distR="0">
            <wp:extent cx="1905000" cy="167640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676400"/>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w:t>
      </w:r>
      <w:r>
        <w:rPr>
          <w:rFonts w:ascii="Arial" w:hAnsi="Arial" w:eastAsia="Arial"/>
          <w:b w:val="on"/>
          <w:sz w:val="22"/>
        </w:rPr>
        <w:t xml:space="preserve">  la demande de Mme Anne BARRACHIN-ROTSZTAIN,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en octobre 2022 et sommes revenus sur place le  18 mai 2023 puis procédé à l’estimation du bien sis: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Lieu dit 'Limeuil' 24250 DOMME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Cadastre :C1053 C1054 C1055 (5710m²)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Situation et description :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Le bien immobilier objet du présent avis est situé à Limeuil, hameau du village de Domme.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Secteur rural et calme, mais très touristique.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Commerces et services à quelques kilomètres (Domme et Groléjac).</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Hôpital, gare et grandes surfaces à 14 km environ (Gourdon et Sarlat).</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Le bien d'une surface habitable totale d'environ 80m² est composé de 2 anciens petits bâtis en pierre reliés entre eux par une construction traditionnelle sur soubassements pierre.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En rez-de-chaussée : Belle pièce à vivre avec cuisine ouverte, 2 chambres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Demi-étage : Bureau, salle d'eau et wc, buanderie.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Etage 1 : Pièce ouverte sur l'escalier d'accès.</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Points négatifs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L'ensemble réclame des travaux de rafraîchissement et d'entretien aussi bien en intérieur qu'en extérieur, des travaux d'amélioration.</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L'extension à connu un dommage structurel (lézarde) sans doute dû à un gonflement / retrait</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d'argile en sous sol.</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Points positifs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Le secteur calme est très demandé et le marché manque de biens 'petit budget'.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30 mai 2023</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110 000 € et 125 000 €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30 mai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