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SCI GJM / DE SUYROT </w:t>
            </w:r>
            <w:r>
              <w:rPr>
                <w:b w:val="on"/>
                <w:color w:val="000000"/>
                <w:sz w:val="22"/>
              </w:rPr>
              <w:t xml:space="preserve">Origine Acquéreur : Plein Sud Site DEP0702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DE SUYROT FABRICE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12/04/2023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+34672450647 fabricedesuyrot@wanadoo.fr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804   type  : Non-exclusif    du  :  17/05/2022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DEP0702)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BUREAU Perrine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06.45.61.93.24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23 chemin de la Chemin - Le Couderc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24620 TURSAC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339 200 €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320 000 €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19 200 €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86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st</w:t>
            </w:r>
            <w:r>
              <w:rPr>
                <w:b w:val="on"/>
                <w:color w:val="000000"/>
                <w:sz w:val="24"/>
              </w:rPr>
              <w:t xml:space="preserve"> SCI GJM représentée par Mr SPIACZKA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Couderc Haut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24620 TURSAC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 0625081000 (Mr)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spiaczka.c@gmail.com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24/04/2023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320 000 fai   302 000 net  18 000 coms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60/40</w:t>
            </w: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