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BR880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69 000 €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Tulle - Appartement T2 centre ville en bon état actuellement loué avec terrasse garage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TULLE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14m²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 4,9m²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8m²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avec wc 6m²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22m²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à amménager de 34m² au bout d'une allée surplombant la cour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140,00 KWHep/m²an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32,00 Kgco2/m²an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Gaz chaudiere individuel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Loi ALUR: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Bien soumis au régime de copropriété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Nbre de lots 30,00 - dont 6 appartements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Charges annuelles moyennes de copro. 240,00 €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centre de tulle 2min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2min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5min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5min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Place de Parking garage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2544445" cy="327723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4445" cy="3277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904365" cy="11588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365" cy="1158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904365" cy="140843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365" cy="1408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904365" cy="143319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365" cy="1433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Appartement T2 de 60m² au premier étage d'un bel immeuble situé sur le quai Continsouza de Tulle à deux minutes de tous commerces, du centre ville. L'intérieur se compose ainsi: une grande entrée indépendante avec rangement distribue vers la cuisine et le séjour, ce dernier ouvre sur une porte fenêtre donnant accés à la terrasse de plus de 30m²; une salle d'eau avec wc, enfin une grande chambre. </w:t>
                    <w:br w:type="textWrapping"/>
                  </w:r>
                  <w:r>
                    <w:br w:type="textWrapping"/>
                  </w:r>
                  <w:r>
                    <w:t xml:space="preserve">En annexe garage et place de parking devant.</w:t>
                    <w:br w:type="textWrapping"/>
                  </w:r>
                  <w:r>
                    <w:br w:type="textWrapping"/>
                  </w:r>
                  <w:r>
                    <w:t xml:space="preserve">Chaque pièce est de bonne taille, l'immeuble est en bon état et les charges faibles.</w:t>
                    <w:br w:type="textWrapping"/>
                  </w:r>
                  <w:r>
                    <w:t xml:space="preserve">L'appartement est loué en bail non meublé avec revision annuelle 434€ +15€ de charges, pas de travaux de rénovation à prévoir ni dans la copropriété ni dans l'appartement.</w:t>
                    <w:br w:type="textWrapping"/>
                  </w:r>
                  <w:r>
                    <w:br w:type="textWrapping"/>
                  </w:r>
                  <w:r>
                    <w:t xml:space="preserve">Rentabilité nette autour des 6%, le calcul est simple: placez, gagnez !</w:t>
                    <w:br w:type="textWrapping"/>
                  </w:r>
                  <w:r>
                    <w:t xml:space="preserve">Ref: BR880</w:t>
                    <w:br w:type="textWrapping"/>
                  </w:r>
                  <w: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2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Américaine Ouverte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Gaz de ville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Sud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79375</wp:posOffset>
                  </wp:positionV>
                  <wp:extent cx="1143000" cy="1228725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color w:val="FFFFFF"/>
          <w:sz w:val="28"/>
          <w:shd w:val="clear" w:fill="FFFFFF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