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3 609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DOLPHYN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233 rue du couderc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ROCAMADOUR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maison T3 de 2020, proche du centre ville de GRAMAT,</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Rue du ségala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QUATRE-VINGT-QUINZE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195 000 €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13 650 € soit : 7,00%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13/08/2024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indivision DOLPHYN  vous informe de mon intention de mettre fin au mandat N° : 3609. J'ai bien noté que cette rétractation interviendra après un délai de 15 jours à compter de la réception du présent bordereau. </w:t>
      </w:r>
    </w:p>
    <w:p>
      <w:pPr>
        <w:pStyle w:val="[Normal]"/>
        <w:widowControl w:val="on"/>
        <w:jc w:val="both"/>
        <w:rPr>
          <w:sz w:val="18"/>
        </w:rPr>
      </w:pPr>
      <w:r>
        <w:rPr>
          <w:sz w:val="18"/>
        </w:rPr>
        <w:t xml:space="preserve">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DOLPHYN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233 rue du couderc</w:t>
      </w:r>
    </w:p>
    <w:p>
      <w:pPr>
        <w:pStyle w:val="[Normal]"/>
        <w:widowControl w:val="on"/>
        <w:rPr>
          <w:b w:val="on"/>
          <w:sz w:val="20"/>
        </w:rPr>
      </w:pPr>
      <w:r>
        <w:rPr>
          <w:rFonts w:ascii="Times New Roman" w:hAnsi="Times New Roman" w:eastAsia="Times New Roman"/>
          <w:b w:val="on"/>
          <w:color w:val="0000FF"/>
        </w:rPr>
        <w:t xml:space="preserve">46500</w:t>
      </w:r>
      <w:r>
        <w:rPr>
          <w:rFonts w:ascii="Times New Roman" w:hAnsi="Times New Roman" w:eastAsia="Times New Roman"/>
          <w:b w:val="on"/>
          <w:sz w:val="28"/>
        </w:rPr>
        <w:t xml:space="preserve"> </w:t>
      </w:r>
      <w:r>
        <w:rPr>
          <w:rFonts w:ascii="Times New Roman" w:hAnsi="Times New Roman" w:eastAsia="Times New Roman"/>
          <w:b w:val="on"/>
          <w:color w:val="0000FF"/>
        </w:rPr>
        <w:t xml:space="preserve">ROCAMADOUR</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7,00% TTC soit </w:t>
      </w:r>
      <w:r>
        <w:rPr>
          <w:b w:val="on"/>
          <w:sz w:val="18"/>
        </w:rPr>
        <w:t xml:space="preserve">:</w:t>
        <w:br w:type="textWrapping"/>
      </w:r>
      <w:r>
        <w:rPr>
          <w:b w:val="on"/>
          <w:sz w:val="18"/>
        </w:rPr>
        <w:t xml:space="preserve">13 650 €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13/08/2024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