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EXCLUSIF "PREMIUM"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3 513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OUBREYRIE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171, route de Bel-Air  "Calviac"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46190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SOUSCEYRAC-EN-QUERCY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Exclusivité  ! Ensemble immobilier ancien à restaurer, maison d'habitation 3 pièces + combles, dépendances, terrain 586 m²</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Seyquet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QUATRE-VINGT-UN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81 000 €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6 400 € soit : 6,92%</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rPr>
        <w:br w:type="textWrapping"/>
      </w: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-Remboursement par l'agence des diagnostics le jour de la signature de l'acte authentique si la vente intervient par        l'intermédiaire de l'Agence </w:t>
      </w:r>
      <w:r>
        <w:rPr>
          <w:rFonts w:ascii="Times New Roman" w:hAnsi="Times New Roman" w:eastAsia="Times New Roman"/>
          <w:b w:val="on"/>
          <w:color w:val="FF0000"/>
        </w:rPr>
        <w:t xml:space="preserve">CHRIS'IMMO</w:t>
      </w:r>
      <w:r>
        <w:rPr>
          <w:rFonts w:ascii="Times New Roman" w:hAnsi="Times New Roman" w:eastAsia="Times New Roman"/>
          <w:b w:val="on"/>
          <w:color w:val="FF0000"/>
          <w:sz w:val="18"/>
        </w:rPr>
        <w:t xml:space="preserve">.</w:t>
      </w:r>
      <w:r>
        <w:rPr>
          <w:rFonts w:ascii="Times New Roman" w:hAnsi="Times New Roman" w:eastAsia="Times New Roman"/>
          <w:color w:val="FF0000"/>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color w:val="FF0000"/>
          <w:sz w:val="18"/>
        </w:rPr>
        <w:t xml:space="preserve">-Réalisation et diffusion d’une visite virtuelle à l’aide de la technologie « Matterport ».</w:t>
        <w:br w:type="textWrapping"/>
      </w:r>
      <w:r>
        <w:rPr>
          <w:rFonts w:ascii="Times New Roman" w:hAnsi="Times New Roman" w:eastAsia="Times New Roman"/>
          <w:color w:val="FF0000"/>
          <w:sz w:val="18"/>
        </w:rPr>
        <w:t xml:space="preserve">-Captations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11/01/2024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et Madame OUBREYRIE</w:t>
      </w:r>
    </w:p>
    <w:p>
      <w:pPr>
        <w:pStyle w:val="[Normal]"/>
        <w:widowControl w:val="on"/>
        <w:rPr>
          <w:b w:val="on"/>
          <w:sz w:val="20"/>
        </w:rPr>
      </w:pPr>
      <w:r>
        <w:rPr>
          <w:b w:val="on"/>
          <w:sz w:val="20"/>
        </w:rPr>
        <w:t xml:space="preserve">Seyquet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6,92% TTC soit </w:t>
      </w:r>
      <w:r>
        <w:rPr>
          <w:b w:val="on"/>
          <w:sz w:val="18"/>
        </w:rPr>
        <w:t xml:space="preserve">:</w:t>
        <w:br w:type="textWrapping"/>
      </w:r>
      <w:r>
        <w:rPr>
          <w:b w:val="on"/>
          <w:sz w:val="18"/>
        </w:rPr>
        <w:t xml:space="preserve">6 400 €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rFonts w:ascii="Times New Roman" w:hAnsi="Times New Roman" w:eastAsia="Times New Roman"/>
          <w:b w:val="on"/>
          <w:sz w:val="18"/>
        </w:rPr>
        <w:t xml:space="preserve">Règlements des litiges :</w:t>
      </w:r>
      <w:r>
        <w:rPr>
          <w:rFonts w:ascii="Times New Roman" w:hAnsi="Times New Roman" w:eastAsia="Times New Roman"/>
          <w:b w:val="on"/>
          <w:sz w:val="24"/>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rPr>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11/01/2024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