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(Baisse de prix)  N° </w:t>
      </w:r>
      <w:r>
        <w:rPr>
          <w:rFonts w:ascii="Times New Roman" w:hAnsi="Times New Roman" w:eastAsia="Times New Roman"/>
          <w:b w:val="on"/>
          <w:color w:val="0000FF"/>
          <w:sz w:val="32"/>
        </w:rPr>
        <w:t xml:space="preserve">3 513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OUBREYRIE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171, route de Bel-Air  "Calviac"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46190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SOUSCEYRAC-EN-QUERCY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Exclusivité  ! Ensemble immobilier ancien à restaurer, maison d'habitation 3 pièces + combles, dépendances, terrain 586 m²</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Seyquet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QUATRE-VINGT-DOUZE MILLE CINQ CENTS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92 500 €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6 400 € soit : 6,92%</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239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23925"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19 juillet 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OUBREYRIE</w:t>
      </w:r>
    </w:p>
    <w:p>
      <w:pPr>
        <w:pStyle w:val="[Normal]"/>
        <w:widowControl w:val="on"/>
        <w:rPr>
          <w:b w:val="on"/>
          <w:sz w:val="20"/>
        </w:rPr>
      </w:pPr>
      <w:r>
        <w:rPr>
          <w:b w:val="on"/>
          <w:sz w:val="20"/>
        </w:rPr>
        <w:t xml:space="preserve">Seyquet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6,92% TTC soit </w:t>
      </w:r>
      <w:r>
        <w:rPr>
          <w:b w:val="on"/>
          <w:sz w:val="18"/>
        </w:rPr>
        <w:t xml:space="preserve">:</w:t>
        <w:br w:type="textWrapping"/>
      </w:r>
      <w:r>
        <w:rPr>
          <w:b w:val="on"/>
          <w:sz w:val="18"/>
        </w:rPr>
        <w:t xml:space="preserve">6 400 €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19 juillet 2023</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