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72"/>
      </w:tblGrid>
      <w:tr>
        <w:tc>
          <w:tcPr>
            <w:tcW w:w="1077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</w:rPr>
              <w:t xml:space="preserve">A vendre Aynac, grange rénovée type 4 sur terrain 280 m² avec gîte indépendant</w:t>
            </w:r>
          </w:p>
        </w:tc>
      </w:tr>
    </w:tbl>
    <w:p>
      <w:pPr>
        <w:pStyle w:val="[Normal]"/>
        <w:rPr>
          <w:rFonts w:ascii="Times New Roman" w:hAnsi="Times New Roman" w:eastAsia="Times New Roman"/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FF0000"/>
            <w:vAlign w:val="top"/>
          </w:tcPr>
          <w:p>
            <w:pPr>
              <w:pStyle w:val="[Normal]"/>
              <w:spacing w:before="57" w:after="170"/>
              <w:rPr>
                <w:rFonts w:ascii="Times New Roman" w:hAnsi="Times New Roman" w:eastAsia="Times New Roman"/>
                <w:color w:val="000000"/>
              </w:rPr>
            </w:pPr>
          </w:p>
        </w:tc>
        <w:tc>
          <w:tcPr>
            <w:tcW w:w="7792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Région LACAPELLE MARIVAL</w:t>
            </w:r>
          </w:p>
        </w:tc>
      </w:tr>
      <w:tr>
        <w:tc>
          <w:tcPr>
            <w:tcW w:w="2718" w:type="dxa"/>
            <w:shd w:val="clear" w:fill="auto"/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dans salle de bains /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15.8 et 21.3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3.5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/ WC (douche + bains + buanderie)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dans salle de bains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aménagée, équipée et semi-ouverte sur pièce à vivre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petit sas 3.3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incluant cuisine / repas / salon avec poêle à bois 58.8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/ WC 4.1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17.4 m²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mansardée 8.4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Mezzanines l'une formant troisième chambre mansardée + bureau 8.4 m², l'autre un couchage d'appoint 2.8 m²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Appentis sur pignon grangette à usage de stockage 7.4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Grangette en cours d'aménagement offrant en rez-de-chaussée 1 pièce de 21.5 m² et, à l'étage mansardé, une autre pièce de 11.4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222,00 KWHep/m²an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7,00 Kgco2/m²an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poêle à bois dans pièce à vivre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Climatisation réversible (dans l'annexe)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par radiateurs pour les autres niveaux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par le sol en rez-de-chaussée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Gramat / Saint-Céré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Brive 1H00, Toulouse 2H00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 (possibles)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à pieds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maternelle et primaire sur place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Gîtes (possible)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Golf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 280 m²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plates très bon état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2605"/>
              <w:gridCol w:w="2519"/>
              <w:gridCol w:w="2608"/>
            </w:tblGrid>
            <w:tr>
              <w:tc>
                <w:tcPr>
                  <w:tcW w:w="2605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  <w:t xml:space="preserve">Réf : GRA1679</w:t>
                  </w:r>
                </w:p>
              </w:tc>
              <w:tc>
                <w:tcPr>
                  <w:tcW w:w="25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  <w:t xml:space="preserve">Prix : 212 000 € dont commission agence :</w:t>
                  </w:r>
                </w:p>
              </w:tc>
              <w:tc>
                <w:tcPr>
                  <w:tcW w:w="2608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rPr>
                      <w:rFonts w:ascii="Times New Roman" w:hAnsi="Times New Roman" w:eastAsia="Times New Roman"/>
                      <w:b w:val="on"/>
                      <w:color w:val="FF0000"/>
                      <w:sz w:val="14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b w:val="on"/>
                      <w:color w:val="FF0000"/>
                      <w:sz w:val="18"/>
                    </w:rPr>
                    <w:t xml:space="preserve">6,00%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FF0000"/>
                <w:sz w:val="14"/>
              </w:rPr>
            </w:pPr>
          </w:p>
          <w:tbl>
            <w:tblPr>
              <w:tblW w:w="0" w:type="auto"/>
              <w:jc w:val="left"/>
              <w:tblInd w:w="-3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</w:rPr>
                  </w:pPr>
                  <w:r>
                    <w:drawing>
                      <wp:inline distT="0" distB="0" distL="0" distR="0">
                        <wp:extent cx="4267200" cy="320040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0" cy="320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-3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</w:rPr>
                  </w:pPr>
                  <w:r>
                    <w:drawing>
                      <wp:inline distT="0" distB="0" distL="0" distR="0">
                        <wp:extent cx="1219200" cy="914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219200" cy="9144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219200" cy="9144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-30" w:type="dxa"/>
              <w:tblBorders>
                <w:top w:val="single" w:sz="12" w:space="0" w:color="auto"/>
                <w:left w:val="none"/>
                <w:bottom w:val="single" w:sz="12" w:space="0" w:color="auto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before="120" w:after="120" w:line="240" w:lineRule="auto"/>
                  </w:pPr>
                  <w:r>
                    <w:t xml:space="preserve">Au cœur du village d'Aynac, au calme et à distance à pieds des commerces et services, charmante grange rénovée en 2006 offrant en rez-de-chaussée : couloir desservant 2 grandes chambres, une salle de bains (bains / douche / WC / buanderie); au 1</w:t>
                  </w:r>
                  <w:r>
                    <w:rPr>
                      <w:position w:val="6"/>
                    </w:rPr>
                    <w:t xml:space="preserve">er</w:t>
                  </w:r>
                  <w:r>
                    <w:t xml:space="preserve"> étage : petit sas d'entrée vitré, pièce à vivre regroupant salon avec poêle à bois, cuisine / repas semi-ouverte, salle d'eau / WC et terrasse; au-dessus: 2 mezzanines mansardées l'une à usage de 3</w:t>
                  </w:r>
                  <w:r>
                    <w:rPr>
                      <w:position w:val="6"/>
                    </w:rPr>
                    <w:t xml:space="preserve">ème</w:t>
                  </w:r>
                  <w:r>
                    <w:t xml:space="preserve">chambre / bureau, l'autre, plus petite, avec couchage d'appoint. Terrain de 280 m² avec dépendance (ancienne porcherie) en cours d'aménagement et devant offrir à terme : pièce à vivre et kitchenette en rez-de-chaussée et, à l'étage, chambre + salle d'eau / WC. Chauffage par le sol en rez-de-chaussée, radiateurs et poêle à bois aux niveaux supérieurs, menuiseries double vitrage, tout-à-l'égout, belles prestations.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auxquels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Times New Roman" w:hAnsi="Times New Roman" w:eastAsia="Times New Roma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-3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Surface habitable</w:t>
                  </w:r>
                  <w:r>
                    <w:rPr>
                      <w:rFonts w:ascii="Times New Roman" w:hAnsi="Times New Roman" w:eastAsia="Times New Roman"/>
                    </w:rPr>
                    <w:t xml:space="preserve"> : 129 m² 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Times New Roman" w:hAnsi="Times New Roman" w:eastAsia="Times New Roman"/>
                    </w:rPr>
                    <w:t xml:space="preserve"> : 280 m² 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pièces</w:t>
                  </w:r>
                  <w:r>
                    <w:rPr>
                      <w:rFonts w:ascii="Times New Roman" w:hAnsi="Times New Roman" w:eastAsia="Times New Roman"/>
                    </w:rPr>
                    <w:t xml:space="preserve"> : 4 pièces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salle de bain</w:t>
                  </w:r>
                  <w:r>
                    <w:rPr>
                      <w:rFonts w:ascii="Times New Roman" w:hAnsi="Times New Roman" w:eastAsia="Times New Roman"/>
                    </w:rPr>
                    <w:t xml:space="preserve"> : 1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Type de cuisine</w:t>
                  </w:r>
                  <w:r>
                    <w:rPr>
                      <w:rFonts w:ascii="Times New Roman" w:hAnsi="Times New Roman" w:eastAsia="Times New Roman"/>
                    </w:rPr>
                    <w:t xml:space="preserve"> : Américaine Ouverte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Type de chauffage</w:t>
                  </w:r>
                  <w:r>
                    <w:rPr>
                      <w:rFonts w:ascii="Times New Roman" w:hAnsi="Times New Roman" w:eastAsia="Times New Roman"/>
                    </w:rPr>
                    <w:t xml:space="preserve"> : Electricité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Times New Roman" w:hAnsi="Times New Roman" w:eastAsia="Times New Roman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Nombre de salle d'eau</w:t>
                  </w:r>
                  <w:r>
                    <w:rPr>
                      <w:rFonts w:ascii="Times New Roman" w:hAnsi="Times New Roman" w:eastAsia="Times New Roman"/>
                    </w:rPr>
                    <w:t xml:space="preserve"> : 1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Times New Roman"/>
                <w:sz w:val="12"/>
              </w:rPr>
            </w:pPr>
          </w:p>
          <w:tbl>
            <w:tblPr>
              <w:tblW w:w="0" w:type="auto"/>
              <w:jc w:val="left"/>
              <w:tblInd w:w="-30" w:type="dxa"/>
              <w:tblBorders>
                <w:top w:val="single" w:sz="12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imes New Roman" w:hAnsi="Times New Roman" w:eastAsia="Times New Roman"/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Times New Roman" w:hAnsi="Times New Roman" w:eastAsia="Times New Roman"/>
                    </w:rPr>
                    <w:t xml:space="preserve"> : Très bon	</w:t>
                  </w: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Année de constuction</w:t>
                  </w:r>
                  <w:r>
                    <w:rPr>
                      <w:rFonts w:ascii="Times New Roman" w:hAnsi="Times New Roman" w:eastAsia="Times New Roman"/>
                    </w:rPr>
                    <w:t xml:space="preserve"> : 1850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Times New Roman" w:hAnsi="Times New Roman" w:eastAsia="Times New Roman"/>
                    </w:rPr>
                    <w:t xml:space="preserve"> : Pierre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u w:val="single"/>
                    </w:rPr>
                    <w:t xml:space="preserve">Exposition</w:t>
                  </w:r>
                  <w:r>
                    <w:rPr>
                      <w:rFonts w:ascii="Times New Roman" w:hAnsi="Times New Roman" w:eastAsia="Times New Roman"/>
                    </w:rPr>
                    <w:t xml:space="preserve"> : Sud Est</w:t>
                  </w:r>
                </w:p>
              </w:tc>
            </w:tr>
          </w:tbl>
          <w:p>
            <w:pPr>
              <w:pStyle w:val="Normal"/>
              <w:tabs>
                <w:tab w:val="left" w:pos="3995"/>
                <w:tab w:val="right" w:pos="7567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Taxe foncière :</w:t>
            </w:r>
            <w:r>
              <w:rPr>
                <w:rFonts w:ascii="Times New Roman" w:hAnsi="Times New Roman" w:eastAsia="Times New Roman"/>
              </w:rPr>
              <w:t xml:space="preserve"> 700 €</w:t>
            </w:r>
          </w:p>
        </w:tc>
      </w:tr>
      <w:tr>
        <w:trPr>
          <w:cantSplit/>
        </w:trPr>
        <w:tc>
          <w:tcPr>
            <w:tcW w:w="2718" w:type="dxa"/>
            <w:shd w:val="clear" w:fill="FF0000"/>
            <w:vAlign w:val="center"/>
          </w:tcPr>
          <w:p>
            <w:pPr>
              <w:pStyle w:val="[Normal]"/>
              <w:spacing w:before="170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</w:p>
        </w:tc>
        <w:tc>
          <w:tcPr>
            <w:tcW w:w="260" w:type="dxa"/>
            <w:shd w:val="clear" w:fill="FF0000"/>
            <w:vAlign w:val="center"/>
          </w:tcPr>
          <w:p>
            <w:pPr>
              <w:pStyle w:val="[Normal]"/>
              <w:rPr>
                <w:rFonts w:ascii="Times New Roman" w:hAnsi="Times New Roman" w:eastAsia="Times New Roman"/>
                <w:color w:val="FFFFFF"/>
                <w:sz w:val="28"/>
              </w:rPr>
            </w:pPr>
          </w:p>
        </w:tc>
        <w:tc>
          <w:tcPr>
            <w:tcW w:w="7792" w:type="dxa"/>
            <w:shd w:val="clear" w:fill="FF0000"/>
            <w:vAlign w:val="center"/>
          </w:tcPr>
          <w:p>
            <w:pPr>
              <w:pStyle w:val="[Normal]"/>
              <w:spacing w:before="57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17 rue de la Balme 46500 GRAMAT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Tél : 0565381137 Site web : www.chrisimmo.fr</w:t>
            </w:r>
          </w:p>
        </w:tc>
      </w:tr>
    </w:tbl>
    <w:p>
      <w:pPr>
        <w:pStyle w:val="[Normal]"/>
        <w:rPr>
          <w:rFonts w:ascii="Times New Roman" w:hAnsi="Times New Roman" w:eastAsia="Times New Roman"/>
          <w:sz w:val="12"/>
        </w:rPr>
      </w:pPr>
    </w:p>
    <w:sectPr>
      <w:headerReference w:type="default" r:id="rId00009"/>
      <w:footerReference w:type="default" r:id="rId00010"/>
      <w:pgSz w:w="12240" w:h="15840"/>
      <w:pgMar w:top="567" w:right="567" w:bottom="567" w:left="567" w:header="1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