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906" w:type="dxa"/>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000080"/>
            <w:tcW w:w="9906"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color w:val="ffffff"/>
                <w:sz w:val="22"/>
              </w:rPr>
            </w:pPr>
            <w:r>
              <w:rPr>
                <w:b/>
                <w:color w:val="ffffff"/>
                <w:sz w:val="28"/>
              </w:rPr>
              <w:t xml:space="preserve">AVIS DE VALEUR</w:t>
            </w:r>
            <w:r/>
          </w:p>
        </w:tc>
      </w:tr>
    </w:tbl>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tbl>
      <w:tblPr>
        <w:tblStyle w:val="751"/>
        <w:tblW w:w="98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77"/>
        <w:gridCol w:w="3278"/>
        <w:gridCol w:w="3278"/>
      </w:tblGrid>
      <w:tr>
        <w:trPr>
          <w:jc w:val="center"/>
        </w:trPr>
        <w:tc>
          <w:tcPr>
            <w:tcW w:w="3277" w:type="dxa"/>
            <w:textDirection w:val="lrTb"/>
            <w:noWrap w:val="false"/>
          </w:tcPr>
          <w:p>
            <w:pPr>
              <w:ind w:left="28"/>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2"/>
              </w:rPr>
            </w:pPr>
            <w:r>
              <w:rPr>
                <w:sz w:val="22"/>
                <w:szCs w:val="18"/>
              </w:rPr>
            </w:r>
            <w:r>
              <mc:AlternateContent>
                <mc:Choice Requires="wpg">
                  <w:drawing>
                    <wp:inline xmlns:wp="http://schemas.openxmlformats.org/drawingml/2006/wordprocessingDrawing" distT="0" distB="0" distL="0" distR="0">
                      <wp:extent cx="1714500" cy="1143000"/>
                      <wp:effectExtent l="0" t="0" r="0" b="0"/>
                      <wp:docPr id="2" name="Picture 1" descr="https://gildc.activimmo.ovh/pic/180x120/07gildc6502811p2066d5d7a9448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6502811p2066d5d7a94483c.jpg"/>
                              <pic:cNvPicPr>
                                <a:picLocks noChangeAspect="1"/>
                              </pic:cNvPicPr>
                              <pic:nvPr/>
                            </pic:nvPicPr>
                            <pic:blipFill>
                              <a:blip r:embed="rId11"/>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35.0pt;height:90.0pt;mso-wrap-distance-left:0.0pt;mso-wrap-distance-top:0.0pt;mso-wrap-distance-right:0.0pt;mso-wrap-distance-bottom:0.0pt;" stroked="false">
                      <v:path textboxrect="0,0,0,0"/>
                      <v:imagedata r:id="rId11" o:title=""/>
                    </v:shape>
                  </w:pict>
                </mc:Fallback>
              </mc:AlternateContent>
            </w:r>
            <w:r>
              <w:rPr>
                <w:sz w:val="22"/>
                <w:szCs w:val="18"/>
              </w:rPr>
            </w:r>
            <w:r/>
          </w:p>
        </w:tc>
        <w:tc>
          <w:tcPr>
            <w:tcW w:w="3278"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mc:AlternateContent>
                <mc:Choice Requires="wpg">
                  <w:drawing>
                    <wp:inline xmlns:wp="http://schemas.openxmlformats.org/drawingml/2006/wordprocessingDrawing" distT="0" distB="0" distL="0" distR="0">
                      <wp:extent cx="1714500" cy="1143000"/>
                      <wp:effectExtent l="0" t="0" r="0" b="0"/>
                      <wp:docPr id="3" name="Picture 1" descr="https://gildc.activimmo.ovh/pic/180x120/07gildc6502811p1366d5d7a301e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6502811p1366d5d7a301e97.jpg"/>
                              <pic:cNvPicPr>
                                <a:picLocks noChangeAspect="1"/>
                              </pic:cNvPicPr>
                              <pic:nvPr/>
                            </pic:nvPicPr>
                            <pic:blipFill>
                              <a:blip r:embed="rId12"/>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35.0pt;height:90.0pt;mso-wrap-distance-left:0.0pt;mso-wrap-distance-top:0.0pt;mso-wrap-distance-right:0.0pt;mso-wrap-distance-bottom:0.0pt;" stroked="false">
                      <v:path textboxrect="0,0,0,0"/>
                      <v:imagedata r:id="rId12" o:title=""/>
                    </v:shape>
                  </w:pict>
                </mc:Fallback>
              </mc:AlternateContent>
            </w:r>
            <w:r>
              <w:rPr>
                <w:sz w:val="22"/>
                <w:szCs w:val="18"/>
              </w:rPr>
            </w:r>
            <w:r/>
          </w:p>
        </w:tc>
        <w:tc>
          <w:tcPr>
            <w:tcW w:w="3278"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mc:AlternateContent>
                <mc:Choice Requires="wpg">
                  <w:drawing>
                    <wp:inline xmlns:wp="http://schemas.openxmlformats.org/drawingml/2006/wordprocessingDrawing" distT="0" distB="0" distL="0" distR="0">
                      <wp:extent cx="1714500" cy="1143000"/>
                      <wp:effectExtent l="0" t="0" r="0" b="0"/>
                      <wp:docPr id="4" name="Picture 1" descr="https://gildc.activimmo.ovh/pic/180x120/07gildc6502811p1066d5d7a0345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6502811p1066d5d7a0345cc.jpg"/>
                              <pic:cNvPicPr>
                                <a:picLocks noChangeAspect="1"/>
                              </pic:cNvPicPr>
                              <pic:nvPr/>
                            </pic:nvPicPr>
                            <pic:blipFill>
                              <a:blip r:embed="rId13"/>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35.0pt;height:90.0pt;mso-wrap-distance-left:0.0pt;mso-wrap-distance-top:0.0pt;mso-wrap-distance-right:0.0pt;mso-wrap-distance-bottom:0.0pt;" stroked="false">
                      <v:path textboxrect="0,0,0,0"/>
                      <v:imagedata r:id="rId13" o:title=""/>
                    </v:shape>
                  </w:pict>
                </mc:Fallback>
              </mc:AlternateContent>
            </w:r>
            <w:r>
              <w:rPr>
                <w:sz w:val="22"/>
                <w:szCs w:val="18"/>
              </w:rPr>
            </w:r>
            <w:r/>
          </w:p>
        </w:tc>
      </w:tr>
    </w:tbl>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sz w:val="22"/>
          <w:szCs w:val="18"/>
        </w:rPr>
        <w:t xml:space="preserve">Je soussigné(e), Emmanuelle Alazard, de la Sarl Quercy Transactions, 3, place Jean-Jacques </w:t>
      </w:r>
      <w:r>
        <w:rPr>
          <w:sz w:val="22"/>
          <w:szCs w:val="18"/>
        </w:rPr>
        <w:t xml:space="preserve">Chapou</w:t>
      </w:r>
      <w:r>
        <w:rPr>
          <w:sz w:val="22"/>
          <w:szCs w:val="18"/>
        </w:rPr>
        <w:t xml:space="preserve">, 46000 CAHORS (Lot), atteste par la présente avoir visité le 30/08/24, un Appartement sis 80 rue des cadourques 46000 CAHORS, 2 ème étage porte 6, appartenant à Mr et Mme </w:t>
      </w:r>
      <w:r>
        <w:rPr>
          <w:sz w:val="22"/>
          <w:szCs w:val="18"/>
        </w:rPr>
        <w:t xml:space="preserve">SILVA</w:t>
      </w:r>
      <w:r/>
      <w:r>
        <w:t xml:space="preserve">.</w:t>
      </w:r>
      <w:r>
        <w:rPr>
          <w:sz w:val="22"/>
          <w:szCs w:val="22"/>
        </w:rP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2"/>
        </w:rPr>
      </w:pPr>
      <w:r>
        <w:rPr>
          <w:color w:val="000000"/>
          <w:sz w:val="22"/>
        </w:rPr>
      </w:r>
      <w:r/>
    </w:p>
    <w:tbl>
      <w:tblPr>
        <w:tblW w:w="0" w:type="auto"/>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000080"/>
            <w:tcW w:w="9906"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color w:val="ffffff"/>
                <w:sz w:val="22"/>
              </w:rPr>
            </w:pPr>
            <w:r>
              <w:rPr>
                <w:b/>
                <w:color w:val="ffffff"/>
                <w:sz w:val="22"/>
              </w:rPr>
              <w:t xml:space="preserve">Descriptif</w:t>
            </w:r>
            <w:r/>
          </w:p>
        </w:tc>
      </w:tr>
    </w:tbl>
    <w:p>
      <w:pPr>
        <w:ind w:left="0" w:right="0"/>
        <w:jc w:val="left"/>
        <w:spacing w:before="240" w:after="240" w:line="240" w:lineRule="auto"/>
        <w:widowControl/>
      </w:pPr>
      <w:r>
        <w:rPr>
          <w:color w:val="000000"/>
          <w:sz w:val="24"/>
          <w:szCs w:val="24"/>
        </w:rPr>
        <w:t xml:space="preserve">Les informations sur les risques auxquels ce bien est exposé sont disponibles sur le site Géorisques </w:t>
      </w:r>
      <w:hyperlink r:id="rId14" w:tooltip="https://www.georisques.gouv.fr/" w:history="1">
        <w:r>
          <w:rPr>
            <w:rStyle w:val="752"/>
            <w:color w:val="0000cc"/>
            <w:sz w:val="24"/>
            <w:szCs w:val="24"/>
            <w:u w:val="single"/>
          </w:rPr>
          <w:t xml:space="preserve">www.georisques.gouv.fr</w:t>
        </w:r>
      </w:hyperlink>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Surface habitable environ : 64 m²</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Parcelle n° 000 BY 243 de 1583 m²</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Lot n°</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tbl>
      <w:tblPr>
        <w:tblW w:w="0" w:type="auto"/>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000080"/>
            <w:tcW w:w="9906"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color w:val="ffffff"/>
                <w:sz w:val="22"/>
              </w:rPr>
            </w:pPr>
            <w:r>
              <w:rPr>
                <w:b/>
                <w:color w:val="ffffff"/>
                <w:sz w:val="22"/>
              </w:rPr>
              <w:t xml:space="preserve"> Appartement</w:t>
            </w:r>
            <w:r/>
          </w:p>
        </w:tc>
      </w:tr>
    </w:tbl>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b/>
          <w:bCs/>
          <w:sz w:val="22"/>
          <w:szCs w:val="18"/>
        </w:rPr>
        <w:t xml:space="preserve">SITUATION DU BIEN:</w:t>
      </w:r>
      <w:r>
        <w:rPr>
          <w:sz w:val="22"/>
          <w:szCs w:val="18"/>
        </w:rPr>
        <w:br/>
        <w:t xml:space="preserve"> - Centre-Ville proche de toutes commodités dans un quartier calme</w:t>
        <w:br/>
      </w:r>
      <w:r>
        <w:rPr>
          <w:sz w:val="16"/>
          <w:szCs w:val="12"/>
        </w:rPr>
      </w:r>
      <w:r>
        <w:rPr>
          <w:sz w:val="22"/>
          <w:szCs w:val="18"/>
        </w:rPr>
        <w:br/>
      </w:r>
      <w:r>
        <w:rPr>
          <w:b/>
          <w:bCs/>
          <w:sz w:val="22"/>
          <w:szCs w:val="18"/>
        </w:rPr>
        <w:t xml:space="preserve">2ÈME ÉTAGE:</w:t>
      </w:r>
      <w:r>
        <w:rPr>
          <w:sz w:val="22"/>
          <w:szCs w:val="18"/>
        </w:rPr>
        <w:br/>
        <w:t xml:space="preserve"> - Appartement de 64.47 m²</w:t>
        <w:br/>
        <w:t xml:space="preserve"> - Balcon 2</w:t>
        <w:br/>
        <w:t xml:space="preserve"> - Chambre de 12.88 m²</w:t>
        <w:br/>
        <w:t xml:space="preserve"> - Cuisine de 10.42 m²</w:t>
        <w:br/>
        <w:t xml:space="preserve"> - Dégagement de 7.3 m²</w:t>
        <w:br/>
        <w:t xml:space="preserve"> - Salle d'eau d</w:t>
      </w:r>
      <w:r>
        <w:rPr>
          <w:sz w:val="22"/>
          <w:szCs w:val="18"/>
        </w:rPr>
        <w:t xml:space="preserve">e 3.17 m²</w:t>
        <w:br/>
        <w:t xml:space="preserve"> - Salon de 16.86 m²</w:t>
        <w:br/>
        <w:t xml:space="preserve"> - WC de 1.20 m²</w:t>
        <w:br/>
        <w:t xml:space="preserve"> -  chambre 2 de 12.64 m²</w:t>
        <w:br/>
      </w:r>
      <w:r>
        <w:rPr>
          <w:sz w:val="22"/>
          <w:szCs w:val="18"/>
        </w:rPr>
      </w:r>
      <w:r>
        <w:rPr>
          <w:sz w:val="22"/>
          <w:szCs w:val="18"/>
        </w:rPr>
        <w:br/>
      </w:r>
      <w:r>
        <w:rPr>
          <w:b/>
          <w:bCs/>
          <w:sz w:val="22"/>
          <w:szCs w:val="18"/>
        </w:rPr>
        <w:t xml:space="preserve">DPE:</w:t>
      </w:r>
      <w:r>
        <w:rPr>
          <w:sz w:val="22"/>
          <w:szCs w:val="18"/>
        </w:rPr>
        <w:br/>
        <w:t xml:space="preserve"> - Consommation énergétique (en énergie primaire):</w:t>
        <w:br/>
        <w:t xml:space="preserve"> - Emission de gaz à effet de serre:</w:t>
        <w:br/>
      </w:r>
      <w:r>
        <w:rPr>
          <w:sz w:val="22"/>
          <w:szCs w:val="22"/>
        </w:rP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sz w:val="22"/>
          <w:szCs w:val="18"/>
        </w:rPr>
      </w:r>
      <w:r>
        <w:rPr>
          <w:b/>
          <w:bCs/>
          <w:sz w:val="22"/>
          <w:szCs w:val="18"/>
        </w:rPr>
        <w:t xml:space="preserve">CHAUFFAGE:</w:t>
      </w:r>
      <w:r>
        <w:rPr>
          <w:sz w:val="22"/>
          <w:szCs w:val="18"/>
        </w:rPr>
        <w:br/>
        <w:t xml:space="preserve"> - CC Gaz collectif inclus dans charges</w:t>
        <w:br/>
        <w:br/>
      </w:r>
      <w:r>
        <w:rPr>
          <w:b/>
          <w:bCs/>
          <w:sz w:val="22"/>
          <w:szCs w:val="18"/>
        </w:rPr>
        <w:t xml:space="preserve">DONNÉES FINANCIÈRES:</w:t>
      </w:r>
      <w:r>
        <w:rPr>
          <w:sz w:val="22"/>
          <w:szCs w:val="18"/>
        </w:rPr>
        <w:br/>
        <w:t xml:space="preserve"> - Revenu loca</w:t>
      </w:r>
      <w:r>
        <w:rPr>
          <w:sz w:val="22"/>
          <w:szCs w:val="18"/>
        </w:rPr>
        <w:t xml:space="preserve">tif entre 500€ et 550€ par mois possible</w:t>
        <w:br/>
        <w:t xml:space="preserve"> - Type de bail habitation</w:t>
        <w:br/>
        <w:br/>
      </w:r>
      <w:r>
        <w:rPr>
          <w:b/>
          <w:bCs/>
          <w:sz w:val="22"/>
          <w:szCs w:val="18"/>
        </w:rPr>
        <w:t xml:space="preserve">EQUIPEMENTS DE CUISINE:</w:t>
      </w:r>
      <w:r>
        <w:rPr>
          <w:sz w:val="22"/>
          <w:szCs w:val="18"/>
        </w:rPr>
        <w:br/>
        <w:t xml:space="preserve"> - Hotte aspirante </w:t>
        <w:br/>
        <w:t xml:space="preserve"> - Plaque à induction </w:t>
        <w:br/>
        <w:br/>
      </w:r>
      <w:r>
        <w:rPr>
          <w:b/>
          <w:bCs/>
          <w:sz w:val="22"/>
          <w:szCs w:val="18"/>
        </w:rPr>
        <w:t xml:space="preserve">EQUIPEMENTS DIVERS</w:t>
      </w:r>
      <w:r>
        <w:rPr>
          <w:sz w:val="22"/>
          <w:szCs w:val="18"/>
        </w:rPr>
        <w:t xml:space="preserve">:</w:t>
        <w:br/>
        <w:t xml:space="preserve"> - Ascenseur sur les demi-niveaux</w:t>
        <w:br/>
        <w:t xml:space="preserve"> - Double vitrage Pvc avec volets roulant</w:t>
        <w:br/>
        <w:t xml:space="preserve"> - Placard </w:t>
        <w:br/>
        <w:t xml:space="preserve"> - Tout à l</w:t>
      </w:r>
      <w:r>
        <w:rPr>
          <w:sz w:val="22"/>
          <w:szCs w:val="18"/>
        </w:rPr>
        <w:t xml:space="preserve">'égout </w:t>
        <w:br/>
        <w:t xml:space="preserve"> - Production eau chaude cumulus électrique âgé d'un an</w:t>
        <w:br/>
        <w:br/>
      </w:r>
      <w:r>
        <w:rPr>
          <w:b/>
          <w:bCs/>
          <w:sz w:val="22"/>
          <w:szCs w:val="18"/>
        </w:rPr>
        <w:t xml:space="preserve">EQUIPEMENTS ELECTRIQUE</w:t>
      </w:r>
      <w:r>
        <w:rPr>
          <w:sz w:val="22"/>
          <w:szCs w:val="18"/>
        </w:rPr>
        <w:t xml:space="preserve">:</w:t>
        <w:br/>
        <w:t xml:space="preserve"> - Câble TV avec la fibre</w:t>
        <w:br/>
        <w:t xml:space="preserve"> - Interphone </w:t>
        <w:br/>
        <w:br/>
      </w:r>
      <w:r>
        <w:rPr>
          <w:b/>
          <w:bCs/>
          <w:sz w:val="22"/>
          <w:szCs w:val="18"/>
        </w:rPr>
        <w:t xml:space="preserve">FENÊTRES:</w:t>
      </w:r>
      <w:r>
        <w:rPr>
          <w:sz w:val="22"/>
          <w:szCs w:val="18"/>
        </w:rPr>
        <w:br/>
        <w:t xml:space="preserve"> - PVC </w:t>
        <w:br/>
        <w:t xml:space="preserve"> - Volets electriques</w:t>
        <w:br/>
        <w:br/>
      </w:r>
      <w:r>
        <w:rPr>
          <w:b/>
          <w:bCs/>
          <w:sz w:val="22"/>
          <w:szCs w:val="18"/>
        </w:rPr>
        <w:t xml:space="preserve">IMMEUBLE:</w:t>
      </w:r>
      <w:r>
        <w:rPr>
          <w:sz w:val="22"/>
          <w:szCs w:val="18"/>
        </w:rPr>
        <w:br/>
        <w:t xml:space="preserve"> - 2ème étage_B </w:t>
        <w:br/>
        <w:br/>
      </w:r>
      <w:r>
        <w:rPr>
          <w:b/>
          <w:bCs/>
          <w:sz w:val="22"/>
          <w:szCs w:val="18"/>
        </w:rPr>
        <w:t xml:space="preserve">LOI ALUR:</w:t>
      </w:r>
      <w:r>
        <w:rPr>
          <w:sz w:val="22"/>
          <w:szCs w:val="18"/>
        </w:rPr>
        <w:br/>
        <w:t xml:space="preserve"> - Bien soumis au régime de copropriété:</w:t>
        <w:br/>
        <w:t xml:space="preserve"> - Ch</w:t>
      </w:r>
      <w:r>
        <w:rPr>
          <w:sz w:val="22"/>
          <w:szCs w:val="18"/>
        </w:rPr>
        <w:t xml:space="preserve">arges annuelles moyennes de copro.: 200 €</w:t>
        <w:br/>
        <w:br/>
      </w:r>
      <w:r>
        <w:rPr>
          <w:b/>
          <w:bCs/>
          <w:sz w:val="22"/>
          <w:szCs w:val="18"/>
        </w:rPr>
        <w:t xml:space="preserve">SERVICES:</w:t>
      </w:r>
      <w:r>
        <w:rPr>
          <w:sz w:val="22"/>
          <w:szCs w:val="18"/>
        </w:rPr>
        <w:br/>
        <w:t xml:space="preserve"> - Calme </w:t>
        <w:br/>
        <w:t xml:space="preserve"> - Commerces </w:t>
        <w:br/>
        <w:t xml:space="preserve"> - Ecole maternelle, primaire, collège, lycée</w:t>
        <w:br/>
        <w:t xml:space="preserve"> - Gare </w:t>
        <w:br/>
        <w:t xml:space="preserve"> - Hôpital </w:t>
        <w:br/>
        <w:t xml:space="preserve"> - Internet / ADSL </w:t>
        <w:br/>
        <w:t xml:space="preserve"> - Ascenseur </w:t>
        <w:br/>
        <w:t xml:space="preserve"> - Internet fibre optique. </w:t>
        <w:br/>
        <w:br/>
      </w:r>
      <w:r>
        <w:rPr>
          <w:b/>
          <w:bCs/>
          <w:sz w:val="22"/>
          <w:szCs w:val="18"/>
        </w:rPr>
        <w:t xml:space="preserve">SOUS SOL:</w:t>
      </w:r>
      <w:r>
        <w:rPr>
          <w:sz w:val="22"/>
          <w:szCs w:val="18"/>
        </w:rPr>
        <w:br/>
        <w:t xml:space="preserve"> - Cave une commune et une personnelle</w:t>
        <w:br/>
      </w:r>
      <w:r>
        <w:rPr>
          <w:sz w:val="22"/>
          <w:szCs w:val="22"/>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highlight w:val="none"/>
        </w:rPr>
      </w:pPr>
      <w:r>
        <w:rPr>
          <w:sz w:val="22"/>
          <w:szCs w:val="18"/>
        </w:rPr>
        <w:tab/>
        <w:t xml:space="preserve">A l'issue de cette visite, j'ai évalué ce bien entre </w:t>
      </w:r>
      <w:r>
        <w:rPr>
          <w:b/>
          <w:sz w:val="22"/>
          <w:szCs w:val="18"/>
        </w:rPr>
        <w:t xml:space="preserve">93 000 €</w:t>
      </w:r>
      <w:r>
        <w:rPr>
          <w:sz w:val="22"/>
          <w:szCs w:val="18"/>
        </w:rPr>
        <w:t xml:space="preserve"> (</w:t>
      </w:r>
      <w:r>
        <w:rPr>
          <w:b/>
          <w:sz w:val="22"/>
          <w:szCs w:val="18"/>
        </w:rPr>
        <w:t xml:space="preserve">quatre-vingts treize mille euros</w:t>
      </w:r>
      <w:r>
        <w:rPr>
          <w:sz w:val="22"/>
          <w:szCs w:val="18"/>
        </w:rPr>
        <w:t xml:space="preserve">) et </w:t>
      </w:r>
      <w:r>
        <w:rPr>
          <w:b/>
          <w:sz w:val="22"/>
          <w:szCs w:val="18"/>
        </w:rPr>
        <w:t xml:space="preserve">102 000 €</w:t>
      </w:r>
      <w:r>
        <w:rPr>
          <w:sz w:val="22"/>
          <w:szCs w:val="18"/>
        </w:rPr>
        <w:t xml:space="preserve"> (</w:t>
      </w:r>
      <w:r>
        <w:rPr>
          <w:b/>
          <w:sz w:val="22"/>
          <w:szCs w:val="18"/>
        </w:rPr>
        <w:t xml:space="preserve">cent deux mille euros</w:t>
      </w:r>
      <w:r>
        <w:rPr>
          <w:sz w:val="22"/>
          <w:szCs w:val="18"/>
        </w:rPr>
        <w:t xml:space="preserve">).</w:t>
      </w:r>
      <w:r>
        <w:rPr>
          <w:sz w:val="22"/>
          <w:szCs w:val="18"/>
        </w:rP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sz w:val="22"/>
          <w:szCs w:val="18"/>
          <w:highlight w:val="none"/>
        </w:rPr>
      </w:r>
      <w:r>
        <w:rPr>
          <w:sz w:val="22"/>
          <w:szCs w:val="18"/>
          <w:highlight w:val="none"/>
        </w:rP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highlight w:val="none"/>
        </w:rPr>
      </w:pPr>
      <w:r>
        <w:rPr>
          <w:sz w:val="22"/>
          <w:szCs w:val="18"/>
        </w:rPr>
        <w:tab/>
        <w:t xml:space="preserve"> Cette évaluation </w:t>
      </w:r>
      <w:r>
        <w:rPr>
          <w:sz w:val="22"/>
          <w:szCs w:val="18"/>
        </w:rPr>
        <w:t xml:space="preserve">a</w:t>
      </w:r>
      <w:r>
        <w:rPr>
          <w:sz w:val="22"/>
          <w:szCs w:val="18"/>
        </w:rPr>
        <w:t xml:space="preserve"> été donnée sur la base de l'état des prestations du bien, de sa situation, du marché immobilier et des transactions réalisées à ce jour sur ce secteur et sous réserve</w:t>
      </w:r>
      <w:r>
        <w:rPr>
          <w:sz w:val="22"/>
          <w:szCs w:val="18"/>
        </w:rPr>
        <w:t xml:space="preserve"> du résultat favorable des expertises : termites, plomb, amiante, électricité, gaz, diagnostic de performance énergétique (DPE), assainissement. Cet avis de valeur est indicatif et n'a pas de valeur d'expertise et ne peut engager notre responsabilité, n’ét</w:t>
      </w:r>
      <w:r>
        <w:rPr>
          <w:sz w:val="22"/>
          <w:szCs w:val="18"/>
        </w:rPr>
        <w:t xml:space="preserve">ant pas en mesure de vérifier les éventuelles servitudes, nuisances, malfaçons ou autres troubles pouvant affecter la propriété et le reflet du marché immobilier actuel pouvant subir des fluctuations. Cet avis de valeur a une durée de validité de six mois.</w:t>
      </w: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highlight w:val="none"/>
        </w:rPr>
      </w:r>
      <w:r>
        <w:rPr>
          <w:highlight w:val="none"/>
        </w:rP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t xml:space="preserve">Pour servir et valoir ce que de droit,</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t xml:space="preserve">Fait à Cahors, le 05 09 24</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t xml:space="preserve">Alazard Emmanuelle</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r>
      <w:r/>
    </w:p>
    <w:p>
      <w:pPr>
        <w:pStyle w:val="745"/>
        <w:rPr>
          <w:b w:val="0"/>
          <w:sz w:val="24"/>
        </w:rPr>
      </w:pPr>
      <w:r>
        <w:rPr>
          <w:b w:val="0"/>
          <w:sz w:val="24"/>
        </w:rPr>
      </w:r>
      <w:r/>
    </w:p>
    <w:sectPr>
      <w:headerReference w:type="default" r:id="rId9"/>
      <w:footerReference w:type="default" r:id="rId10"/>
      <w:footnotePr/>
      <w:endnotePr/>
      <w:type w:val="nextPage"/>
      <w:pgSz w:w="11906" w:h="16837" w:orient="portrait"/>
      <w:pgMar w:top="1134" w:right="1134" w:bottom="1134" w:left="993"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0" w:type="dxa"/>
      <w:tblLayout w:type="fixed"/>
      <w:tblCellMar>
        <w:left w:w="30" w:type="dxa"/>
        <w:right w:w="30" w:type="dxa"/>
      </w:tblCellMar>
      <w:tblLook w:val="0000" w:firstRow="0" w:lastRow="0" w:firstColumn="0" w:lastColumn="0" w:noHBand="0" w:noVBand="0"/>
    </w:tblPr>
    <w:tblGrid>
      <w:gridCol w:w="9630"/>
      <w:gridCol w:w="8"/>
    </w:tblGrid>
    <w:tr>
      <w:trPr/>
      <w:tc>
        <w:tcPr>
          <w:gridSpan w:val="2"/>
          <w:shd w:val="clear" w:color="auto" w:fill="auto"/>
          <w:tcW w:w="9638" w:type="dxa"/>
          <w:textDirection w:val="lrTb"/>
          <w:noWrap w:val="false"/>
        </w:tcPr>
        <w:p>
          <w:pPr>
            <w:pStyle w:val="742"/>
            <w:numPr>
              <w:ilvl w:val="0"/>
              <w:numId w:val="0"/>
            </w:numPr>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right" w:pos="9014" w:leader="none"/>
              <w:tab w:val="clear" w:pos="9072" w:leader="none"/>
              <w:tab w:val="clear" w:pos="10206" w:leader="none"/>
              <w:tab w:val="clear" w:pos="11340" w:leader="none"/>
            </w:tabs>
            <w:rPr>
              <w:sz w:val="20"/>
            </w:rPr>
          </w:pPr>
          <w:r>
            <w:rPr>
              <w:sz w:val="20"/>
            </w:rPr>
          </w:r>
          <w:r/>
        </w:p>
      </w:tc>
    </w:tr>
    <w:tr>
      <w:trPr>
        <w:gridAfter w:val="1"/>
      </w:trPr>
      <w:tc>
        <w:tcPr>
          <w:shd w:val="clear" w:color="auto" w:fill="auto"/>
          <w:tcBorders>
            <w:top w:val="single" w:color="auto" w:sz="4" w:space="0"/>
          </w:tcBorders>
          <w:tcW w:w="9630" w:type="dxa"/>
          <w:textDirection w:val="lrTb"/>
          <w:noWrap w:val="false"/>
        </w:tcPr>
        <w:p>
          <w:pPr>
            <w:pStyle w:val="742"/>
            <w:numPr>
              <w:ilvl w:val="0"/>
              <w:numId w:val="0"/>
            </w:numPr>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right" w:pos="9551" w:leader="none"/>
              <w:tab w:val="clear" w:pos="10206" w:leader="none"/>
              <w:tab w:val="clear" w:pos="11340" w:leader="none"/>
              <w:tab w:val="clear" w:pos="12474" w:leader="none"/>
            </w:tabs>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w:t>
          </w:r>
          <w:r>
            <w:rPr>
              <w:rFonts w:ascii="Times New Roman" w:hAnsi="Times New Roman" w:eastAsia="Times New Roman"/>
              <w:sz w:val="20"/>
            </w:rPr>
            <w:tab/>
            <w:t xml:space="preserve">Page </w:t>
          </w:r>
          <w:r/>
        </w:p>
      </w:tc>
    </w:tr>
  </w:tbl>
  <w:p>
    <w:pPr>
      <w:pStyle w:val="742"/>
      <w:numPr>
        <w:ilvl w:val="0"/>
        <w:numId w:val="0"/>
      </w:numPr>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right" w:pos="9014" w:leader="none"/>
        <w:tab w:val="clear" w:pos="9072" w:leader="none"/>
        <w:tab w:val="clear" w:pos="10206" w:leader="none"/>
        <w:tab w:val="clear" w:pos="11340" w:leader="none"/>
      </w:tabs>
      <w:rPr>
        <w:rFonts w:ascii="Times New Roman" w:hAnsi="Times New Roman" w:eastAsia="Times New Roman"/>
        <w:sz w:val="20"/>
      </w:rPr>
    </w:pPr>
    <w:r>
      <w:rPr>
        <w:rFonts w:ascii="Times New Roman" w:hAnsi="Times New Roman" w:eastAsia="Times New Roman"/>
        <w:sz w:val="20"/>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Layout w:type="fixed"/>
      <w:tblCellMar>
        <w:left w:w="36" w:type="dxa"/>
        <w:right w:w="36" w:type="dxa"/>
      </w:tblCellMar>
      <w:tblLook w:val="0000" w:firstRow="0" w:lastRow="0" w:firstColumn="0" w:lastColumn="0" w:noHBand="0" w:noVBand="0"/>
    </w:tblPr>
    <w:tblGrid>
      <w:gridCol w:w="9639"/>
    </w:tblGrid>
    <w:tr>
      <w:trPr/>
      <w:tc>
        <w:tcPr>
          <w:shd w:val="clear" w:color="auto" w:fill="auto"/>
          <w:tcW w:w="9639" w:type="dxa"/>
          <w:textDirection w:val="lrTb"/>
          <w:noWrap w:val="false"/>
        </w:tcPr>
        <w:p>
          <w:pPr>
            <w:pStyle w:val="741"/>
            <w:rPr>
              <w:sz w:val="20"/>
              <w:shd w:val="clear" w:color="auto" w:fill="ffffff"/>
            </w:rPr>
          </w:pPr>
          <w:r>
            <w:rPr>
              <w:sz w:val="20"/>
              <w:shd w:val="clear" w:color="auto" w:fill="ffffff"/>
            </w:rPr>
          </w:r>
          <w:r/>
        </w:p>
        <w:p>
          <w:pPr>
            <w:pStyle w:val="741"/>
            <w:jc w:val="center"/>
            <w:rPr>
              <w:sz w:val="20"/>
              <w:shd w:val="clear" w:color="auto" w:fill="ffffff"/>
            </w:rPr>
          </w:pPr>
          <w:r>
            <w:rPr>
              <w:sz w:val="20"/>
              <w:shd w:val="clear" w:color="auto" w:fill="ffffff"/>
            </w:rPr>
            <mc:AlternateContent>
              <mc:Choice Requires="wpg">
                <w:drawing>
                  <wp:inline xmlns:wp="http://schemas.openxmlformats.org/drawingml/2006/wordprocessingDrawing" distT="0" distB="0" distL="0" distR="0">
                    <wp:extent cx="3204288" cy="82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24314" name="Image 1222824314"/>
                            <pic:cNvPicPr>
                              <a:picLocks noChangeAspect="1"/>
                            </pic:cNvPicPr>
                            <pic:nvPr/>
                          </pic:nvPicPr>
                          <pic:blipFill>
                            <a:blip r:embed="rId1"/>
                            <a:stretch/>
                          </pic:blipFill>
                          <pic:spPr bwMode="auto">
                            <a:xfrm>
                              <a:off x="0" y="0"/>
                              <a:ext cx="3204288" cy="828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52.3pt;height:65.2pt;mso-wrap-distance-left:0.0pt;mso-wrap-distance-top:0.0pt;mso-wrap-distance-right:0.0pt;mso-wrap-distance-bottom:0.0pt;" stroked="false">
                    <v:path textboxrect="0,0,0,0"/>
                    <v:imagedata r:id="rId1" o:title=""/>
                  </v:shape>
                </w:pict>
              </mc:Fallback>
            </mc:AlternateContent>
          </w:r>
          <w:r/>
        </w:p>
        <w:p>
          <w:pPr>
            <w:pStyle w:val="741"/>
            <w:rPr>
              <w:sz w:val="20"/>
              <w:shd w:val="clear" w:color="auto" w:fill="ffffff"/>
            </w:rPr>
          </w:pPr>
          <w:r>
            <w:rPr>
              <w:sz w:val="20"/>
              <w:shd w:val="clear" w:color="auto" w:fill="ffffff"/>
            </w:rPr>
          </w:r>
          <w:r/>
        </w:p>
        <w:p>
          <w:pPr>
            <w:pStyle w:val="741"/>
            <w:jc w:val="center"/>
            <w:rPr>
              <w:b/>
              <w:sz w:val="20"/>
              <w:shd w:val="clear" w:color="auto" w:fill="ffffff"/>
            </w:rPr>
          </w:pPr>
          <w:r>
            <w:rPr>
              <w:b/>
              <w:sz w:val="36"/>
              <w:shd w:val="clear" w:color="auto" w:fill="ffffff"/>
            </w:rPr>
            <w:t xml:space="preserve">Immobilier Quercy Transactions</w:t>
          </w:r>
          <w:r/>
        </w:p>
        <w:p>
          <w:pPr>
            <w:pStyle w:val="741"/>
            <w:jc w:val="center"/>
            <w:rPr>
              <w:b/>
              <w:sz w:val="20"/>
              <w:shd w:val="clear" w:color="auto" w:fill="ffffff"/>
            </w:rPr>
          </w:pPr>
          <w:r>
            <w:rPr>
              <w:b/>
              <w:sz w:val="20"/>
              <w:shd w:val="clear" w:color="auto" w:fill="ffffff"/>
            </w:rPr>
            <w:t xml:space="preserve">3, Place Jean-Jacques Chapou (place de la Cathédrale)</w:t>
          </w:r>
          <w:r/>
        </w:p>
        <w:p>
          <w:pPr>
            <w:pStyle w:val="741"/>
            <w:jc w:val="center"/>
            <w:rPr>
              <w:b/>
              <w:sz w:val="20"/>
              <w:shd w:val="clear" w:color="auto" w:fill="ffffff"/>
            </w:rPr>
          </w:pPr>
          <w:r>
            <w:rPr>
              <w:b/>
              <w:sz w:val="20"/>
              <w:shd w:val="clear" w:color="auto" w:fill="ffffff"/>
            </w:rPr>
            <w:t xml:space="preserve">46000 CAHORS</w:t>
          </w:r>
          <w:r/>
        </w:p>
        <w:p>
          <w:pPr>
            <w:pStyle w:val="741"/>
            <w:jc w:val="center"/>
            <w:rPr>
              <w:b/>
              <w:sz w:val="20"/>
              <w:shd w:val="clear" w:color="auto" w:fill="ffffff"/>
            </w:rPr>
          </w:pPr>
          <w:r>
            <w:rPr>
              <w:b/>
              <w:sz w:val="20"/>
              <w:shd w:val="clear" w:color="auto" w:fill="ffffff"/>
            </w:rPr>
            <w:t xml:space="preserve">Tél : 05 65 53 24 76 - contact@quercy-transactions.com</w:t>
          </w:r>
          <w:r/>
        </w:p>
        <w:p>
          <w:pPr>
            <w:pStyle w:val="741"/>
            <w:jc w:val="center"/>
            <w:rPr>
              <w:sz w:val="20"/>
              <w:shd w:val="clear" w:color="auto" w:fill="ffffff"/>
            </w:rPr>
          </w:pPr>
          <w:r>
            <w:rPr>
              <w:b/>
              <w:sz w:val="20"/>
              <w:shd w:val="clear" w:color="auto" w:fill="ffffff"/>
            </w:rPr>
            <w:t xml:space="preserve">www.quercy-transactions.com</w:t>
          </w:r>
          <w:r/>
        </w:p>
      </w:tc>
    </w:tr>
  </w:tbl>
  <w:p>
    <w:pPr>
      <w:pStyle w:val="741"/>
      <w:rPr>
        <w:sz w:val="20"/>
        <w:shd w:val="clear" w:color="auto" w:fill="ffffff"/>
      </w:rPr>
    </w:pPr>
    <w:r>
      <w:rPr>
        <w:sz w:val="20"/>
        <w:shd w:val="clear" w:color="auto" w:fill="ffffff"/>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43"/>
      <w:isLgl w:val="false"/>
      <w:suff w:val="tab"/>
      <w:lvlText w:val=""/>
      <w:lvlJc w:val="left"/>
      <w:pPr>
        <w:ind w:left="360" w:hanging="360"/>
        <w:tabs>
          <w:tab w:val="num" w:pos="360" w:leader="none"/>
        </w:tabs>
      </w:pPr>
      <w:rPr>
        <w:rFonts w:hint="default" w:ascii="Symbol" w:hAnsi="Symbol" w:eastAsia="Symbol"/>
        <w:b/>
        <w:i w:val="0"/>
        <w:strike w:val="0"/>
        <w:color w:val="auto"/>
        <w:position w:val="0"/>
        <w:sz w:val="2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742"/>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4"/>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37"/>
    <w:next w:val="73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8"/>
    <w:link w:val="12"/>
    <w:uiPriority w:val="9"/>
    <w:rPr>
      <w:rFonts w:ascii="Arial" w:hAnsi="Arial" w:eastAsia="Arial" w:cs="Arial"/>
      <w:sz w:val="40"/>
      <w:szCs w:val="40"/>
    </w:rPr>
  </w:style>
  <w:style w:type="paragraph" w:styleId="14">
    <w:name w:val="Heading 2"/>
    <w:basedOn w:val="737"/>
    <w:next w:val="737"/>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38"/>
    <w:link w:val="14"/>
    <w:uiPriority w:val="9"/>
    <w:rPr>
      <w:rFonts w:ascii="Arial" w:hAnsi="Arial" w:eastAsia="Arial" w:cs="Arial"/>
      <w:sz w:val="34"/>
    </w:rPr>
  </w:style>
  <w:style w:type="paragraph" w:styleId="16">
    <w:name w:val="Heading 3"/>
    <w:basedOn w:val="737"/>
    <w:next w:val="737"/>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38"/>
    <w:link w:val="16"/>
    <w:uiPriority w:val="9"/>
    <w:rPr>
      <w:rFonts w:ascii="Arial" w:hAnsi="Arial" w:eastAsia="Arial" w:cs="Arial"/>
      <w:sz w:val="30"/>
      <w:szCs w:val="30"/>
    </w:rPr>
  </w:style>
  <w:style w:type="paragraph" w:styleId="18">
    <w:name w:val="Heading 4"/>
    <w:basedOn w:val="737"/>
    <w:next w:val="73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38"/>
    <w:link w:val="18"/>
    <w:uiPriority w:val="9"/>
    <w:rPr>
      <w:rFonts w:ascii="Arial" w:hAnsi="Arial" w:eastAsia="Arial" w:cs="Arial"/>
      <w:b/>
      <w:bCs/>
      <w:sz w:val="26"/>
      <w:szCs w:val="26"/>
    </w:rPr>
  </w:style>
  <w:style w:type="paragraph" w:styleId="20">
    <w:name w:val="Heading 5"/>
    <w:basedOn w:val="737"/>
    <w:next w:val="73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8"/>
    <w:link w:val="20"/>
    <w:uiPriority w:val="9"/>
    <w:rPr>
      <w:rFonts w:ascii="Arial" w:hAnsi="Arial" w:eastAsia="Arial" w:cs="Arial"/>
      <w:b/>
      <w:bCs/>
      <w:sz w:val="24"/>
      <w:szCs w:val="24"/>
    </w:rPr>
  </w:style>
  <w:style w:type="paragraph" w:styleId="22">
    <w:name w:val="Heading 6"/>
    <w:basedOn w:val="737"/>
    <w:next w:val="73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8"/>
    <w:link w:val="22"/>
    <w:uiPriority w:val="9"/>
    <w:rPr>
      <w:rFonts w:ascii="Arial" w:hAnsi="Arial" w:eastAsia="Arial" w:cs="Arial"/>
      <w:b/>
      <w:bCs/>
      <w:sz w:val="22"/>
      <w:szCs w:val="22"/>
    </w:rPr>
  </w:style>
  <w:style w:type="paragraph" w:styleId="24">
    <w:name w:val="Heading 7"/>
    <w:basedOn w:val="737"/>
    <w:next w:val="73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8"/>
    <w:link w:val="24"/>
    <w:uiPriority w:val="9"/>
    <w:rPr>
      <w:rFonts w:ascii="Arial" w:hAnsi="Arial" w:eastAsia="Arial" w:cs="Arial"/>
      <w:b/>
      <w:bCs/>
      <w:i/>
      <w:iCs/>
      <w:sz w:val="22"/>
      <w:szCs w:val="22"/>
    </w:rPr>
  </w:style>
  <w:style w:type="paragraph" w:styleId="26">
    <w:name w:val="Heading 8"/>
    <w:basedOn w:val="737"/>
    <w:next w:val="73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8"/>
    <w:link w:val="26"/>
    <w:uiPriority w:val="9"/>
    <w:rPr>
      <w:rFonts w:ascii="Arial" w:hAnsi="Arial" w:eastAsia="Arial" w:cs="Arial"/>
      <w:i/>
      <w:iCs/>
      <w:sz w:val="22"/>
      <w:szCs w:val="22"/>
    </w:rPr>
  </w:style>
  <w:style w:type="paragraph" w:styleId="28">
    <w:name w:val="Heading 9"/>
    <w:basedOn w:val="737"/>
    <w:next w:val="73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8"/>
    <w:link w:val="28"/>
    <w:uiPriority w:val="9"/>
    <w:rPr>
      <w:rFonts w:ascii="Arial" w:hAnsi="Arial" w:eastAsia="Arial" w:cs="Arial"/>
      <w:i/>
      <w:iCs/>
      <w:sz w:val="21"/>
      <w:szCs w:val="21"/>
    </w:rPr>
  </w:style>
  <w:style w:type="paragraph" w:styleId="30">
    <w:name w:val="List Paragraph"/>
    <w:basedOn w:val="737"/>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37"/>
    <w:next w:val="737"/>
    <w:link w:val="34"/>
    <w:uiPriority w:val="10"/>
    <w:qFormat/>
    <w:pPr>
      <w:contextualSpacing/>
      <w:spacing w:before="300" w:after="200"/>
    </w:pPr>
    <w:rPr>
      <w:sz w:val="48"/>
      <w:szCs w:val="48"/>
    </w:rPr>
  </w:style>
  <w:style w:type="character" w:styleId="34">
    <w:name w:val="Title Char"/>
    <w:basedOn w:val="738"/>
    <w:link w:val="33"/>
    <w:uiPriority w:val="10"/>
    <w:rPr>
      <w:sz w:val="48"/>
      <w:szCs w:val="48"/>
    </w:rPr>
  </w:style>
  <w:style w:type="paragraph" w:styleId="35">
    <w:name w:val="Subtitle"/>
    <w:basedOn w:val="737"/>
    <w:next w:val="737"/>
    <w:link w:val="36"/>
    <w:uiPriority w:val="11"/>
    <w:qFormat/>
    <w:pPr>
      <w:spacing w:before="200" w:after="200"/>
    </w:pPr>
    <w:rPr>
      <w:sz w:val="24"/>
      <w:szCs w:val="24"/>
    </w:rPr>
  </w:style>
  <w:style w:type="character" w:styleId="36">
    <w:name w:val="Subtitle Char"/>
    <w:basedOn w:val="738"/>
    <w:link w:val="35"/>
    <w:uiPriority w:val="11"/>
    <w:rPr>
      <w:sz w:val="24"/>
      <w:szCs w:val="24"/>
    </w:rPr>
  </w:style>
  <w:style w:type="paragraph" w:styleId="37">
    <w:name w:val="Quote"/>
    <w:basedOn w:val="737"/>
    <w:next w:val="737"/>
    <w:link w:val="38"/>
    <w:uiPriority w:val="29"/>
    <w:qFormat/>
    <w:pPr>
      <w:ind w:left="720" w:right="720"/>
    </w:pPr>
    <w:rPr>
      <w:i/>
    </w:rPr>
  </w:style>
  <w:style w:type="character" w:styleId="38">
    <w:name w:val="Quote Char"/>
    <w:link w:val="37"/>
    <w:uiPriority w:val="29"/>
    <w:rPr>
      <w:i/>
    </w:rPr>
  </w:style>
  <w:style w:type="paragraph" w:styleId="39">
    <w:name w:val="Intense Quote"/>
    <w:basedOn w:val="737"/>
    <w:next w:val="73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38"/>
    <w:link w:val="747"/>
    <w:uiPriority w:val="99"/>
  </w:style>
  <w:style w:type="character" w:styleId="44">
    <w:name w:val="Footer Char"/>
    <w:basedOn w:val="738"/>
    <w:link w:val="749"/>
    <w:uiPriority w:val="99"/>
  </w:style>
  <w:style w:type="paragraph" w:styleId="45">
    <w:name w:val="Caption"/>
    <w:basedOn w:val="737"/>
    <w:next w:val="737"/>
    <w:uiPriority w:val="35"/>
    <w:semiHidden/>
    <w:unhideWhenUsed/>
    <w:qFormat/>
    <w:pPr>
      <w:spacing w:line="276" w:lineRule="auto"/>
    </w:pPr>
    <w:rPr>
      <w:b/>
      <w:bCs/>
      <w:color w:val="4f81bd" w:themeColor="accent1"/>
      <w:sz w:val="18"/>
      <w:szCs w:val="18"/>
    </w:rPr>
  </w:style>
  <w:style w:type="character" w:styleId="46">
    <w:name w:val="Caption Char"/>
    <w:basedOn w:val="45"/>
    <w:link w:val="749"/>
    <w:uiPriority w:val="99"/>
  </w:style>
  <w:style w:type="table" w:styleId="48">
    <w:name w:val="Table Grid Light"/>
    <w:basedOn w:val="73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3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3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3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3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3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3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3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3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3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3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3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3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8"/>
    <w:uiPriority w:val="99"/>
    <w:unhideWhenUsed/>
    <w:rPr>
      <w:vertAlign w:val="superscript"/>
    </w:rPr>
  </w:style>
  <w:style w:type="paragraph" w:styleId="177">
    <w:name w:val="endnote text"/>
    <w:basedOn w:val="73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8"/>
    <w:uiPriority w:val="99"/>
    <w:semiHidden/>
    <w:unhideWhenUsed/>
    <w:rPr>
      <w:vertAlign w:val="superscript"/>
    </w:rPr>
  </w:style>
  <w:style w:type="paragraph" w:styleId="180">
    <w:name w:val="toc 1"/>
    <w:basedOn w:val="737"/>
    <w:next w:val="737"/>
    <w:uiPriority w:val="39"/>
    <w:unhideWhenUsed/>
    <w:pPr>
      <w:ind w:left="0" w:right="0" w:firstLine="0"/>
      <w:spacing w:after="57"/>
    </w:pPr>
  </w:style>
  <w:style w:type="paragraph" w:styleId="181">
    <w:name w:val="toc 2"/>
    <w:basedOn w:val="737"/>
    <w:next w:val="737"/>
    <w:uiPriority w:val="39"/>
    <w:unhideWhenUsed/>
    <w:pPr>
      <w:ind w:left="283" w:right="0" w:firstLine="0"/>
      <w:spacing w:after="57"/>
    </w:pPr>
  </w:style>
  <w:style w:type="paragraph" w:styleId="182">
    <w:name w:val="toc 3"/>
    <w:basedOn w:val="737"/>
    <w:next w:val="737"/>
    <w:uiPriority w:val="39"/>
    <w:unhideWhenUsed/>
    <w:pPr>
      <w:ind w:left="567" w:right="0" w:firstLine="0"/>
      <w:spacing w:after="57"/>
    </w:pPr>
  </w:style>
  <w:style w:type="paragraph" w:styleId="183">
    <w:name w:val="toc 4"/>
    <w:basedOn w:val="737"/>
    <w:next w:val="737"/>
    <w:uiPriority w:val="39"/>
    <w:unhideWhenUsed/>
    <w:pPr>
      <w:ind w:left="850" w:right="0" w:firstLine="0"/>
      <w:spacing w:after="57"/>
    </w:pPr>
  </w:style>
  <w:style w:type="paragraph" w:styleId="184">
    <w:name w:val="toc 5"/>
    <w:basedOn w:val="737"/>
    <w:next w:val="737"/>
    <w:uiPriority w:val="39"/>
    <w:unhideWhenUsed/>
    <w:pPr>
      <w:ind w:left="1134" w:right="0" w:firstLine="0"/>
      <w:spacing w:after="57"/>
    </w:pPr>
  </w:style>
  <w:style w:type="paragraph" w:styleId="185">
    <w:name w:val="toc 6"/>
    <w:basedOn w:val="737"/>
    <w:next w:val="737"/>
    <w:uiPriority w:val="39"/>
    <w:unhideWhenUsed/>
    <w:pPr>
      <w:ind w:left="1417" w:right="0" w:firstLine="0"/>
      <w:spacing w:after="57"/>
    </w:pPr>
  </w:style>
  <w:style w:type="paragraph" w:styleId="186">
    <w:name w:val="toc 7"/>
    <w:basedOn w:val="737"/>
    <w:next w:val="737"/>
    <w:uiPriority w:val="39"/>
    <w:unhideWhenUsed/>
    <w:pPr>
      <w:ind w:left="1701" w:right="0" w:firstLine="0"/>
      <w:spacing w:after="57"/>
    </w:pPr>
  </w:style>
  <w:style w:type="paragraph" w:styleId="187">
    <w:name w:val="toc 8"/>
    <w:basedOn w:val="737"/>
    <w:next w:val="737"/>
    <w:uiPriority w:val="39"/>
    <w:unhideWhenUsed/>
    <w:pPr>
      <w:ind w:left="1984" w:right="0" w:firstLine="0"/>
      <w:spacing w:after="57"/>
    </w:pPr>
  </w:style>
  <w:style w:type="paragraph" w:styleId="188">
    <w:name w:val="toc 9"/>
    <w:basedOn w:val="737"/>
    <w:next w:val="73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37"/>
    <w:next w:val="737"/>
    <w:uiPriority w:val="99"/>
    <w:unhideWhenUsed/>
    <w:pPr>
      <w:spacing w:after="0" w:afterAutospacing="0"/>
    </w:pPr>
  </w:style>
  <w:style w:type="paragraph" w:styleId="737" w:default="1">
    <w:name w:val="Normal"/>
    <w:qFormat/>
    <w:pPr>
      <w:ind w:left="1080"/>
      <w:spacing w:after="0" w:line="240" w:lineRule="auto"/>
    </w:pPr>
    <w:rPr>
      <w:rFonts w:hAnsi="Arial" w:eastAsia="Arial"/>
      <w:sz w:val="20"/>
    </w:rPr>
  </w:style>
  <w:style w:type="character" w:styleId="738" w:default="1">
    <w:name w:val="Default Paragraph Font"/>
    <w:uiPriority w:val="1"/>
    <w:semiHidden/>
    <w:unhideWhenUsed/>
  </w:style>
  <w:style w:type="table" w:styleId="739" w:default="1">
    <w:name w:val="Normal Table"/>
    <w:uiPriority w:val="99"/>
    <w:semiHidden/>
    <w:unhideWhenUsed/>
    <w:tblPr>
      <w:tblInd w:w="0" w:type="dxa"/>
      <w:tblCellMar>
        <w:left w:w="108" w:type="dxa"/>
        <w:top w:w="0" w:type="dxa"/>
        <w:right w:w="108" w:type="dxa"/>
        <w:bottom w:w="0" w:type="dxa"/>
      </w:tblCellMar>
    </w:tblPr>
  </w:style>
  <w:style w:type="numbering" w:styleId="740" w:default="1">
    <w:name w:val="No List"/>
    <w:uiPriority w:val="99"/>
    <w:semiHidden/>
    <w:unhideWhenUsed/>
  </w:style>
  <w:style w:type="paragraph" w:styleId="74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42" w:customStyle="1">
    <w:name w:val="Détail"/>
    <w:basedOn w:val="741"/>
    <w:qFormat/>
    <w:pPr>
      <w:numPr>
        <w:numId w:val="1"/>
      </w:numPr>
    </w:pPr>
  </w:style>
  <w:style w:type="paragraph" w:styleId="743" w:customStyle="1">
    <w:name w:val="Type de détail"/>
    <w:basedOn w:val="742"/>
    <w:qFormat/>
    <w:pPr>
      <w:numPr>
        <w:numId w:val="2"/>
      </w:numPr>
    </w:pPr>
    <w:rPr>
      <w:b/>
      <w:sz w:val="28"/>
    </w:rPr>
  </w:style>
  <w:style w:type="paragraph" w:styleId="744" w:customStyle="1">
    <w:name w:val="historique"/>
    <w:basedOn w:val="737"/>
    <w:qFormat/>
    <w:rPr>
      <w:sz w:val="16"/>
    </w:rPr>
  </w:style>
  <w:style w:type="paragraph" w:styleId="745" w:customStyle="1">
    <w:name w:val="Titre1"/>
    <w:basedOn w:val="741"/>
    <w:qFormat/>
    <w:rPr>
      <w:b/>
      <w:sz w:val="28"/>
    </w:rPr>
  </w:style>
  <w:style w:type="paragraph" w:styleId="746" w:customStyle="1">
    <w:name w:val="Alinéa"/>
    <w:basedOn w:val="741"/>
    <w:qFormat/>
    <w:pPr>
      <w:ind w:left="1134" w:right="1134"/>
      <w:jc w:val="both"/>
      <w:spacing w:before="240" w:line="36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color w:val="000000"/>
      <w:sz w:val="28"/>
    </w:rPr>
  </w:style>
  <w:style w:type="paragraph" w:styleId="747">
    <w:name w:val="Header"/>
    <w:basedOn w:val="737"/>
    <w:link w:val="748"/>
    <w:pPr>
      <w:tabs>
        <w:tab w:val="center" w:pos="4536" w:leader="none"/>
        <w:tab w:val="right" w:pos="9072" w:leader="none"/>
      </w:tabs>
    </w:pPr>
  </w:style>
  <w:style w:type="character" w:styleId="748" w:customStyle="1">
    <w:name w:val="En-tête Car"/>
    <w:basedOn w:val="738"/>
    <w:link w:val="747"/>
    <w:rPr>
      <w:rFonts w:hAnsi="Arial" w:eastAsia="Arial"/>
      <w:sz w:val="20"/>
    </w:rPr>
  </w:style>
  <w:style w:type="paragraph" w:styleId="749">
    <w:name w:val="Footer"/>
    <w:basedOn w:val="737"/>
    <w:link w:val="750"/>
    <w:pPr>
      <w:tabs>
        <w:tab w:val="center" w:pos="4536" w:leader="none"/>
        <w:tab w:val="right" w:pos="9072" w:leader="none"/>
      </w:tabs>
    </w:pPr>
  </w:style>
  <w:style w:type="character" w:styleId="750" w:customStyle="1">
    <w:name w:val="Pied de page Car"/>
    <w:basedOn w:val="738"/>
    <w:link w:val="749"/>
    <w:rPr>
      <w:rFonts w:hAnsi="Arial" w:eastAsia="Arial"/>
      <w:sz w:val="20"/>
    </w:rPr>
  </w:style>
  <w:style w:type="table" w:styleId="751">
    <w:name w:val="Table Grid"/>
    <w:basedOn w:val="7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52">
    <w:name w:val="Default Paragraph Font PHPDOCX"/>
    <w:uiPriority w:val="1"/>
    <w:semiHidden/>
    <w:unhideWhenUsed/>
  </w:style>
  <w:style w:type="paragraph" w:styleId="753">
    <w:name w:val="List Paragraph PHPDOCX"/>
    <w:basedOn w:val="737"/>
    <w:uiPriority w:val="34"/>
    <w:qFormat/>
    <w:pPr>
      <w:contextualSpacing/>
      <w:ind w:left="720"/>
    </w:pPr>
  </w:style>
  <w:style w:type="paragraph" w:styleId="754">
    <w:name w:val="Title PHPDOCX"/>
    <w:basedOn w:val="737"/>
    <w:next w:val="737"/>
    <w:link w:val="755"/>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55" w:customStyle="1">
    <w:name w:val="Title Car PHPDOCX"/>
    <w:basedOn w:val="752"/>
    <w:link w:val="754"/>
    <w:uiPriority w:val="10"/>
    <w:rPr>
      <w:rFonts w:asciiTheme="majorHAnsi" w:hAnsiTheme="majorHAnsi" w:eastAsiaTheme="majorEastAsia" w:cstheme="majorBidi"/>
      <w:color w:val="17365d" w:themeColor="text2" w:themeShade="BF"/>
      <w:spacing w:val="5"/>
      <w:sz w:val="52"/>
      <w:szCs w:val="52"/>
    </w:rPr>
  </w:style>
  <w:style w:type="paragraph" w:styleId="756">
    <w:name w:val="Subtitle PHPDOCX"/>
    <w:basedOn w:val="737"/>
    <w:next w:val="737"/>
    <w:link w:val="757"/>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57" w:customStyle="1">
    <w:name w:val="Subtitle Car PHPDOCX"/>
    <w:basedOn w:val="752"/>
    <w:link w:val="756"/>
    <w:uiPriority w:val="11"/>
    <w:rPr>
      <w:rFonts w:asciiTheme="majorHAnsi" w:hAnsiTheme="majorHAnsi" w:eastAsiaTheme="majorEastAsia" w:cstheme="majorBidi"/>
      <w:i/>
      <w:iCs/>
      <w:color w:val="4f81bd" w:themeColor="accent1"/>
      <w:spacing w:val="15"/>
      <w:sz w:val="24"/>
      <w:szCs w:val="24"/>
    </w:rPr>
  </w:style>
  <w:style w:type="table" w:styleId="758">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59">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60">
    <w:name w:val="annotation reference PHPDOCX"/>
    <w:basedOn w:val="752"/>
    <w:uiPriority w:val="99"/>
    <w:semiHidden/>
    <w:unhideWhenUsed/>
    <w:rPr>
      <w:sz w:val="16"/>
      <w:szCs w:val="16"/>
    </w:rPr>
  </w:style>
  <w:style w:type="paragraph" w:styleId="761">
    <w:name w:val="annotation text PHPDOCX"/>
    <w:basedOn w:val="737"/>
    <w:link w:val="762"/>
    <w:uiPriority w:val="99"/>
    <w:semiHidden/>
    <w:unhideWhenUsed/>
    <w:pPr>
      <w:spacing w:line="240" w:lineRule="auto"/>
    </w:pPr>
    <w:rPr>
      <w:sz w:val="20"/>
      <w:szCs w:val="20"/>
    </w:rPr>
  </w:style>
  <w:style w:type="character" w:styleId="762" w:customStyle="1">
    <w:name w:val="Comment Text Char PHPDOCX"/>
    <w:basedOn w:val="752"/>
    <w:link w:val="761"/>
    <w:uiPriority w:val="99"/>
    <w:semiHidden/>
    <w:rPr>
      <w:sz w:val="20"/>
      <w:szCs w:val="20"/>
    </w:rPr>
  </w:style>
  <w:style w:type="paragraph" w:styleId="763">
    <w:name w:val="annotation subject PHPDOCX"/>
    <w:basedOn w:val="761"/>
    <w:next w:val="761"/>
    <w:link w:val="764"/>
    <w:uiPriority w:val="99"/>
    <w:semiHidden/>
    <w:unhideWhenUsed/>
    <w:rPr>
      <w:b/>
      <w:bCs/>
    </w:rPr>
  </w:style>
  <w:style w:type="character" w:styleId="764" w:customStyle="1">
    <w:name w:val="Comment Subject Char PHPDOCX"/>
    <w:basedOn w:val="762"/>
    <w:link w:val="763"/>
    <w:uiPriority w:val="99"/>
    <w:semiHidden/>
    <w:rPr>
      <w:b/>
      <w:bCs/>
      <w:sz w:val="20"/>
      <w:szCs w:val="20"/>
    </w:rPr>
  </w:style>
  <w:style w:type="paragraph" w:styleId="765">
    <w:name w:val="Balloon Text PHPDOCX"/>
    <w:basedOn w:val="737"/>
    <w:link w:val="766"/>
    <w:uiPriority w:val="99"/>
    <w:semiHidden/>
    <w:unhideWhenUsed/>
    <w:pPr>
      <w:spacing w:after="0" w:line="240" w:lineRule="auto"/>
    </w:pPr>
    <w:rPr>
      <w:rFonts w:ascii="Tahoma" w:hAnsi="Tahoma" w:cs="Tahoma"/>
      <w:sz w:val="16"/>
      <w:szCs w:val="16"/>
    </w:rPr>
  </w:style>
  <w:style w:type="character" w:styleId="766" w:customStyle="1">
    <w:name w:val="Balloon Text Char PHPDOCX"/>
    <w:basedOn w:val="752"/>
    <w:link w:val="765"/>
    <w:uiPriority w:val="99"/>
    <w:semiHidden/>
    <w:rPr>
      <w:rFonts w:ascii="Tahoma" w:hAnsi="Tahoma" w:cs="Tahoma"/>
      <w:sz w:val="16"/>
      <w:szCs w:val="16"/>
    </w:rPr>
  </w:style>
  <w:style w:type="paragraph" w:styleId="767">
    <w:name w:val="footnote Text PHPDOCX"/>
    <w:basedOn w:val="737"/>
    <w:link w:val="768"/>
    <w:uiPriority w:val="99"/>
    <w:semiHidden/>
    <w:unhideWhenUsed/>
    <w:pPr>
      <w:spacing w:after="0" w:line="240" w:lineRule="auto"/>
    </w:pPr>
    <w:rPr>
      <w:sz w:val="20"/>
      <w:szCs w:val="20"/>
    </w:rPr>
  </w:style>
  <w:style w:type="character" w:styleId="768" w:customStyle="1">
    <w:name w:val="footnote Text Car PHPDOCX"/>
    <w:basedOn w:val="752"/>
    <w:link w:val="767"/>
    <w:uiPriority w:val="99"/>
    <w:semiHidden/>
    <w:rPr>
      <w:sz w:val="20"/>
      <w:szCs w:val="20"/>
    </w:rPr>
  </w:style>
  <w:style w:type="character" w:styleId="769">
    <w:name w:val="footnote Reference PHPDOCX"/>
    <w:basedOn w:val="752"/>
    <w:uiPriority w:val="99"/>
    <w:semiHidden/>
    <w:unhideWhenUsed/>
    <w:rPr>
      <w:vertAlign w:val="superscript"/>
    </w:rPr>
  </w:style>
  <w:style w:type="paragraph" w:styleId="770">
    <w:name w:val="endnote Text PHPDOCX"/>
    <w:basedOn w:val="737"/>
    <w:link w:val="771"/>
    <w:uiPriority w:val="99"/>
    <w:semiHidden/>
    <w:unhideWhenUsed/>
    <w:pPr>
      <w:spacing w:after="0" w:line="240" w:lineRule="auto"/>
    </w:pPr>
    <w:rPr>
      <w:sz w:val="20"/>
      <w:szCs w:val="20"/>
    </w:rPr>
  </w:style>
  <w:style w:type="character" w:styleId="771" w:customStyle="1">
    <w:name w:val="endnote Text Car PHPDOCX"/>
    <w:basedOn w:val="752"/>
    <w:link w:val="770"/>
    <w:uiPriority w:val="99"/>
    <w:semiHidden/>
    <w:rPr>
      <w:sz w:val="20"/>
      <w:szCs w:val="20"/>
    </w:rPr>
  </w:style>
  <w:style w:type="character" w:styleId="772">
    <w:name w:val="endnote Reference PHPDOCX"/>
    <w:basedOn w:val="752"/>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hyperlink" Target="https://www.georisques.gouv.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alazaem</cp:lastModifiedBy>
  <cp:revision>22</cp:revision>
  <dcterms:created xsi:type="dcterms:W3CDTF">2024-06-26T12:48:00Z</dcterms:created>
  <dcterms:modified xsi:type="dcterms:W3CDTF">2024-09-05T13:59:01Z</dcterms:modified>
</cp:coreProperties>
</file>