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751"/>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3205p23676a84c661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205p23676a84c6614c7.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3205p17676a84c05f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205p17676a84c05f21d.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3205p20676a84c35e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205p20676a84c35e487.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23/12/2, un(e) Maison Ancienne sis 160 chemin bartassou (Lieu-dit Fontalbe) 46700 Sérignac appartenant à Mr FOREL Alban</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0" w:after="0" w:line="240" w:lineRule="auto"/>
        <w:widowControl/>
        <w:rPr>
          <w:color w:val="000000"/>
          <w:sz w:val="24"/>
          <w:szCs w:val="24"/>
          <w:highlight w:val="none"/>
        </w:rPr>
      </w:pPr>
      <w:r>
        <w:rPr>
          <w:color w:val="000000"/>
          <w:sz w:val="24"/>
          <w:szCs w:val="24"/>
        </w:rPr>
        <w:t xml:space="preserve">Petite maison de campagne de 82.4 m² construite en 2014 de plain-pied se composant de 2 chambre et une salle d'eau. Le bien est équipé de menuiseries double vitrages bois et aluminium avec volets battants, d'un poêle </w:t>
      </w:r>
      <w:r>
        <w:rPr>
          <w:color w:val="000000"/>
          <w:sz w:val="24"/>
          <w:szCs w:val="24"/>
        </w:rPr>
        <w:t xml:space="preserve">à bois à inertie, d'une fosse septique et se situe dans un lieu calme. L'isolation du bien est composé de Paille (murs et toiture). Les informations sur les risques auxquels ce bien est exposé sont disponibles sur le site Géorisques: </w:t>
      </w:r>
      <w:hyperlink r:id="rId14" w:tooltip="http://www.georisques.gouv.fr" w:history="1">
        <w:r>
          <w:rPr>
            <w:rStyle w:val="173"/>
            <w:sz w:val="24"/>
            <w:szCs w:val="24"/>
          </w:rPr>
          <w:t xml:space="preserve">www.georisques.gouv.fr</w:t>
        </w:r>
        <w:r>
          <w:rPr>
            <w:rStyle w:val="173"/>
          </w:rPr>
        </w:r>
      </w:hyperlink>
      <w:r/>
    </w:p>
    <w:p>
      <w:pPr>
        <w:ind w:left="0" w:right="0"/>
        <w:jc w:val="left"/>
        <w:spacing w:before="0" w:after="0" w:line="240" w:lineRule="auto"/>
        <w:widowControl/>
      </w:pPr>
      <w:r>
        <w:rPr>
          <w:color w:val="000000"/>
          <w:sz w:val="24"/>
          <w:szCs w:val="24"/>
          <w:highlight w:val="none"/>
        </w:rPr>
      </w:r>
      <w:r>
        <w:rPr>
          <w:color w:val="000000"/>
          <w:sz w:val="24"/>
          <w:szCs w:val="24"/>
          <w:highlight w:val="none"/>
        </w:rP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habitable environ : 82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 000 A 436 d’une contenance de 1,864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SITUATION DU BIEN:</w:t>
        <w:br/>
        <w:t xml:space="preserve"> - Campagne non isolée </w:t>
        <w:br/>
      </w:r>
      <w:r>
        <w:rPr>
          <w:sz w:val="10"/>
          <w:szCs w:val="6"/>
        </w:rPr>
        <w:br/>
      </w:r>
      <w:r>
        <w:rPr>
          <w:sz w:val="22"/>
          <w:szCs w:val="18"/>
        </w:rPr>
        <w:t xml:space="preserve">REZ DE JARDIN:</w:t>
        <w:br/>
        <w:t xml:space="preserve"> - Chambre ch 1 : 12.5 m² / ch 2 : 12.8 m²</w:t>
        <w:br/>
        <w:t xml:space="preserve"> - Cuisine + entrée de 24.3 m²</w:t>
        <w:br/>
        <w:t xml:space="preserve"> - Pièce à vivr</w:t>
      </w:r>
      <w:r>
        <w:rPr>
          <w:sz w:val="22"/>
          <w:szCs w:val="18"/>
        </w:rPr>
        <w:t xml:space="preserve">e 23.4 m²</w:t>
        <w:br/>
        <w:t xml:space="preserve"> - Salle d'eau 8.1 m² </w:t>
        <w:br/>
        <w:t xml:space="preserve"> - WC 1.3 m²</w:t>
        <w:br/>
      </w:r>
      <w:r>
        <w:rPr>
          <w:sz w:val="10"/>
          <w:szCs w:val="6"/>
        </w:rPr>
        <w:br/>
      </w:r>
      <w:r>
        <w:rPr>
          <w:sz w:val="22"/>
          <w:szCs w:val="18"/>
        </w:rPr>
        <w:t xml:space="preserve">DPE:</w:t>
        <w:br/>
        <w:t xml:space="preserve"> - Consommation énergétique (en énergie primaire):</w:t>
        <w:br/>
        <w:t xml:space="preserve"> - Emission de gaz à effet de serre:</w:t>
        <w:br/>
      </w:r>
      <w:r>
        <w:rPr>
          <w:sz w:val="12"/>
          <w:szCs w:val="8"/>
        </w:rPr>
        <w:br/>
      </w:r>
      <w:r>
        <w:rPr>
          <w:sz w:val="22"/>
          <w:szCs w:val="18"/>
        </w:rPr>
        <w:t xml:space="preserve">CHAUFFAGE:</w:t>
        <w:br/>
        <w:t xml:space="preserve"> - bois 5 ans (poele à inertie)</w:t>
        <w:br/>
      </w:r>
      <w:r>
        <w:rPr>
          <w:sz w:val="12"/>
          <w:szCs w:val="8"/>
        </w:rPr>
      </w:r>
      <w:r>
        <w:rPr>
          <w:sz w:val="12"/>
          <w:szCs w:val="8"/>
        </w:rPr>
      </w:r>
      <w:r>
        <w:rPr>
          <w:sz w:val="10"/>
          <w:szCs w:val="6"/>
        </w:rPr>
        <w:br/>
      </w:r>
      <w:r>
        <w:rPr>
          <w:sz w:val="22"/>
          <w:szCs w:val="18"/>
        </w:rPr>
        <w:t xml:space="preserve">DONNÉES FINANCIÈRES:</w:t>
        <w:br/>
        <w:t xml:space="preserve"> - Assurances 50€/ mois</w:t>
        <w:br/>
        <w:t xml:space="preserve"> - Assurances 50€/ mois</w:t>
        <w:br/>
        <w:t xml:space="preserve"> -</w:t>
      </w:r>
      <w:r>
        <w:rPr>
          <w:sz w:val="22"/>
          <w:szCs w:val="18"/>
        </w:rPr>
        <w:t xml:space="preserve"> Taxe Fonciere 600 € / an</w:t>
        <w:br/>
        <w:t xml:space="preserve"> - Taxe Fonciere 600 € / an</w:t>
        <w:br/>
      </w:r>
      <w:r>
        <w:rPr>
          <w:sz w:val="20"/>
          <w:szCs w:val="16"/>
        </w:rPr>
      </w:r>
      <w:r>
        <w:rPr>
          <w:sz w:val="14"/>
          <w:szCs w:val="10"/>
        </w:rPr>
      </w:r>
      <w:r>
        <w:rPr>
          <w:sz w:val="10"/>
          <w:szCs w:val="6"/>
        </w:rPr>
        <w:br/>
      </w:r>
      <w:r>
        <w:rPr>
          <w:sz w:val="22"/>
          <w:szCs w:val="18"/>
        </w:rPr>
        <w:t xml:space="preserve">EQUIPEMENTS DIVERS:</w:t>
        <w:br/>
        <w:t xml:space="preserve"> - Double vitrage bois et Alluminium</w:t>
        <w:br/>
        <w:t xml:space="preserve"> - Fosse septique avec epandage</w:t>
        <w:br/>
        <w:t xml:space="preserve"> - Production eau chaude ballon eau chaude électrique de 200 L</w:t>
        <w:br/>
        <w:t xml:space="preserve"> - Production eau chaude ballon eau chaude électr</w:t>
      </w:r>
      <w:r>
        <w:rPr>
          <w:sz w:val="22"/>
          <w:szCs w:val="18"/>
        </w:rPr>
        <w:t xml:space="preserve">ique de 200 L</w:t>
        <w:br/>
        <w:t xml:space="preserve"> -  production eau chaude au ballon electrique de 200 L</w:t>
        <w:br/>
      </w:r>
      <w:r>
        <w:rPr>
          <w:sz w:val="10"/>
          <w:szCs w:val="6"/>
        </w:rPr>
        <w:br/>
      </w:r>
      <w:r>
        <w:rPr>
          <w:sz w:val="22"/>
          <w:szCs w:val="18"/>
        </w:rPr>
        <w:t xml:space="preserve">FENÊTRES:</w:t>
        <w:br/>
        <w:t xml:space="preserve"> - Aluminium </w:t>
        <w:br/>
        <w:t xml:space="preserve"> - Bois </w:t>
        <w:br/>
        <w:t xml:space="preserve"> - Double vitrage </w:t>
        <w:br/>
        <w:t xml:space="preserve"> - Volets bois battant</w:t>
        <w:br/>
        <w:t xml:space="preserve"> - Volets bois battant</w:t>
        <w:br/>
      </w:r>
      <w:r>
        <w:rPr>
          <w:sz w:val="10"/>
          <w:szCs w:val="6"/>
        </w:rPr>
        <w:br/>
      </w:r>
      <w:r>
        <w:rPr>
          <w:sz w:val="22"/>
          <w:szCs w:val="18"/>
        </w:rPr>
        <w:t xml:space="preserve">SERVICES:</w:t>
        <w:br/>
        <w:t xml:space="preserve"> - Ville la plus proche : Fumel - 15 minutes</w:t>
        <w:br/>
        <w:t xml:space="preserve"> - Ville la plus proche : Fumel</w:t>
      </w:r>
      <w:r>
        <w:rPr>
          <w:sz w:val="22"/>
          <w:szCs w:val="18"/>
        </w:rPr>
        <w:t xml:space="preserve"> - 15 minutes</w:t>
        <w:br/>
        <w:t xml:space="preserve"> - Calme </w:t>
        <w:br/>
        <w:t xml:space="preserve"> - Calme </w:t>
        <w:br/>
        <w:t xml:space="preserve"> - Commerces dans le village de Sérignac </w:t>
        <w:br/>
        <w:t xml:space="preserve"> - Commerces dans le village de Sérignac </w:t>
        <w:br/>
        <w:t xml:space="preserve"> - Internet / ADSL </w:t>
        <w:br/>
        <w:t xml:space="preserve"> - Internet / ADSL </w:t>
        <w:br/>
        <w:t xml:space="preserve"> - Vue campagne</w:t>
        <w:br/>
        <w:t xml:space="preserve"> - Vue campagne</w:t>
        <w:br/>
        <w:t xml:space="preserve"> - Plain-pied après 3 marches</w:t>
        <w:br/>
        <w:t xml:space="preserve"> - Plain-pied après 3 marches</w:t>
        <w:br/>
      </w:r>
      <w:r>
        <w:rPr>
          <w:sz w:val="10"/>
          <w:szCs w:val="6"/>
        </w:rPr>
        <w:br/>
      </w:r>
      <w:r>
        <w:rPr>
          <w:sz w:val="22"/>
          <w:szCs w:val="18"/>
        </w:rPr>
        <w:t xml:space="preserve">TERRA</w:t>
      </w:r>
      <w:r>
        <w:rPr>
          <w:sz w:val="22"/>
          <w:szCs w:val="18"/>
        </w:rPr>
        <w:t xml:space="preserve">IN:</w:t>
        <w:br/>
        <w:t xml:space="preserve"> - Jardin 1800 m² environ non cloturé</w:t>
        <w:br/>
        <w:t xml:space="preserve"> - Jardin 1800 m² environ non cloturé</w:t>
        <w:br/>
      </w:r>
      <w:r>
        <w:rPr>
          <w:sz w:val="10"/>
          <w:szCs w:val="6"/>
        </w:rPr>
        <w:br/>
      </w:r>
      <w:r>
        <w:rPr>
          <w:sz w:val="22"/>
          <w:szCs w:val="18"/>
        </w:rPr>
        <w:t xml:space="preserve">TOITURE:</w:t>
        <w:br/>
        <w:t xml:space="preserve"> - Tuiles romane mécanique sur charpente bois</w:t>
        <w:br/>
        <w:t xml:space="preserve"> - Isolation paille et 45 cm de paille pour les murs.</w:t>
        <w:br/>
      </w:r>
      <w:r>
        <w:rPr>
          <w:sz w:val="10"/>
          <w:szCs w:val="6"/>
        </w:rPr>
        <w:br/>
      </w:r>
      <w:r>
        <w:rPr>
          <w:sz w:val="22"/>
          <w:szCs w:val="18"/>
        </w:rPr>
        <w:t xml:space="preserve">VUE:</w:t>
        <w:br/>
        <w:t xml:space="preserve"> - Vue sur jardin et campagne</w:t>
        <w:br/>
        <w:t xml:space="preserve"> - Vue sur jardin et campagne</w:t>
        <w:b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 xml:space="preserve">A l'issue de cette visite, j'ai évalué ce bien entre </w:t>
      </w:r>
      <w:r>
        <w:rPr>
          <w:b/>
          <w:sz w:val="22"/>
          <w:szCs w:val="18"/>
        </w:rPr>
        <w:t xml:space="preserve">120 000 €</w:t>
      </w:r>
      <w:r>
        <w:rPr>
          <w:sz w:val="22"/>
          <w:szCs w:val="18"/>
        </w:rPr>
        <w:t xml:space="preserve"> (</w:t>
      </w:r>
      <w:r>
        <w:rPr>
          <w:b/>
          <w:sz w:val="22"/>
          <w:szCs w:val="18"/>
        </w:rPr>
        <w:t xml:space="preserve">cents vingt mille euros</w:t>
      </w:r>
      <w:r>
        <w:rPr>
          <w:sz w:val="22"/>
          <w:szCs w:val="18"/>
        </w:rPr>
        <w:t xml:space="preserve">) et </w:t>
      </w:r>
      <w:r>
        <w:rPr>
          <w:b/>
          <w:sz w:val="22"/>
          <w:szCs w:val="18"/>
        </w:rPr>
        <w:t xml:space="preserve">130 000 €</w:t>
      </w:r>
      <w:r>
        <w:rPr>
          <w:sz w:val="22"/>
          <w:szCs w:val="18"/>
        </w:rPr>
        <w:t xml:space="preserve"> (</w:t>
      </w:r>
      <w:r>
        <w:rPr>
          <w:b/>
          <w:sz w:val="22"/>
          <w:szCs w:val="18"/>
        </w:rPr>
        <w:t xml:space="preserve">cents trente mille euros</w:t>
      </w:r>
      <w:r>
        <w:rPr>
          <w:sz w:val="22"/>
          <w:szCs w:val="18"/>
        </w:rPr>
        <w:t xml:space="preserve">). </w:t>
      </w:r>
      <w:r>
        <w:rPr>
          <w:sz w:val="22"/>
          <w:szCs w:val="18"/>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 xml:space="preserve">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06/01/25</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745"/>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742"/>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41"/>
            <w:rPr>
              <w:sz w:val="20"/>
              <w:shd w:val="clear" w:color="auto" w:fill="ffffff"/>
            </w:rPr>
          </w:pPr>
          <w:r>
            <w:rPr>
              <w:sz w:val="20"/>
              <w:shd w:val="clear" w:color="auto" w:fill="ffffff"/>
            </w:rPr>
          </w:r>
          <w:r/>
        </w:p>
        <w:p>
          <w:pPr>
            <w:pStyle w:val="741"/>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741"/>
            <w:rPr>
              <w:sz w:val="20"/>
              <w:shd w:val="clear" w:color="auto" w:fill="ffffff"/>
            </w:rPr>
          </w:pPr>
          <w:r>
            <w:rPr>
              <w:sz w:val="20"/>
              <w:shd w:val="clear" w:color="auto" w:fill="ffffff"/>
            </w:rPr>
          </w:r>
          <w:r/>
        </w:p>
        <w:p>
          <w:pPr>
            <w:pStyle w:val="741"/>
            <w:jc w:val="center"/>
            <w:rPr>
              <w:b/>
              <w:sz w:val="20"/>
              <w:shd w:val="clear" w:color="auto" w:fill="ffffff"/>
            </w:rPr>
          </w:pPr>
          <w:r>
            <w:rPr>
              <w:b/>
              <w:sz w:val="36"/>
              <w:shd w:val="clear" w:color="auto" w:fill="ffffff"/>
            </w:rPr>
            <w:t xml:space="preserve">Immobilier Quercy Transactions</w:t>
          </w:r>
          <w:r/>
        </w:p>
        <w:p>
          <w:pPr>
            <w:pStyle w:val="741"/>
            <w:jc w:val="center"/>
            <w:rPr>
              <w:b/>
              <w:sz w:val="20"/>
              <w:shd w:val="clear" w:color="auto" w:fill="ffffff"/>
            </w:rPr>
          </w:pPr>
          <w:r>
            <w:rPr>
              <w:b/>
              <w:sz w:val="20"/>
              <w:shd w:val="clear" w:color="auto" w:fill="ffffff"/>
            </w:rPr>
            <w:t xml:space="preserve">3, Place Jean-Jacques Chapou (place de la Cathédrale)</w:t>
          </w:r>
          <w:r/>
        </w:p>
        <w:p>
          <w:pPr>
            <w:pStyle w:val="741"/>
            <w:jc w:val="center"/>
            <w:rPr>
              <w:b/>
              <w:sz w:val="20"/>
              <w:shd w:val="clear" w:color="auto" w:fill="ffffff"/>
            </w:rPr>
          </w:pPr>
          <w:r>
            <w:rPr>
              <w:b/>
              <w:sz w:val="20"/>
              <w:shd w:val="clear" w:color="auto" w:fill="ffffff"/>
            </w:rPr>
            <w:t xml:space="preserve">46000 CAHORS</w:t>
          </w:r>
          <w:r/>
        </w:p>
        <w:p>
          <w:pPr>
            <w:pStyle w:val="741"/>
            <w:jc w:val="center"/>
            <w:rPr>
              <w:b/>
              <w:sz w:val="20"/>
              <w:shd w:val="clear" w:color="auto" w:fill="ffffff"/>
            </w:rPr>
          </w:pPr>
          <w:r>
            <w:rPr>
              <w:b/>
              <w:sz w:val="20"/>
              <w:shd w:val="clear" w:color="auto" w:fill="ffffff"/>
            </w:rPr>
            <w:t xml:space="preserve">Tél : 05 65 53 24 76 - contact@quercy-transactions.com</w:t>
          </w:r>
          <w:r/>
        </w:p>
        <w:p>
          <w:pPr>
            <w:pStyle w:val="741"/>
            <w:jc w:val="center"/>
            <w:rPr>
              <w:sz w:val="20"/>
              <w:shd w:val="clear" w:color="auto" w:fill="ffffff"/>
            </w:rPr>
          </w:pPr>
          <w:r>
            <w:rPr>
              <w:b/>
              <w:sz w:val="20"/>
              <w:shd w:val="clear" w:color="auto" w:fill="ffffff"/>
            </w:rPr>
            <w:t xml:space="preserve">www.quercy-transactions.com</w:t>
          </w:r>
          <w:r/>
        </w:p>
      </w:tc>
    </w:tr>
  </w:tbl>
  <w:p>
    <w:pPr>
      <w:pStyle w:val="741"/>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43"/>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42"/>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8"/>
    <w:link w:val="12"/>
    <w:uiPriority w:val="9"/>
    <w:rPr>
      <w:rFonts w:ascii="Arial" w:hAnsi="Arial" w:eastAsia="Arial" w:cs="Arial"/>
      <w:sz w:val="40"/>
      <w:szCs w:val="40"/>
    </w:rPr>
  </w:style>
  <w:style w:type="paragraph" w:styleId="14">
    <w:name w:val="Heading 2"/>
    <w:basedOn w:val="737"/>
    <w:next w:val="73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38"/>
    <w:link w:val="14"/>
    <w:uiPriority w:val="9"/>
    <w:rPr>
      <w:rFonts w:ascii="Arial" w:hAnsi="Arial" w:eastAsia="Arial" w:cs="Arial"/>
      <w:sz w:val="34"/>
    </w:rPr>
  </w:style>
  <w:style w:type="paragraph" w:styleId="16">
    <w:name w:val="Heading 3"/>
    <w:basedOn w:val="737"/>
    <w:next w:val="73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8"/>
    <w:link w:val="16"/>
    <w:uiPriority w:val="9"/>
    <w:rPr>
      <w:rFonts w:ascii="Arial" w:hAnsi="Arial" w:eastAsia="Arial" w:cs="Arial"/>
      <w:sz w:val="30"/>
      <w:szCs w:val="30"/>
    </w:rPr>
  </w:style>
  <w:style w:type="paragraph" w:styleId="18">
    <w:name w:val="Heading 4"/>
    <w:basedOn w:val="737"/>
    <w:next w:val="73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8"/>
    <w:link w:val="18"/>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8"/>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8"/>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8"/>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8"/>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8"/>
    <w:link w:val="28"/>
    <w:uiPriority w:val="9"/>
    <w:rPr>
      <w:rFonts w:ascii="Arial" w:hAnsi="Arial" w:eastAsia="Arial" w:cs="Arial"/>
      <w:i/>
      <w:iCs/>
      <w:sz w:val="21"/>
      <w:szCs w:val="21"/>
    </w:rPr>
  </w:style>
  <w:style w:type="paragraph" w:styleId="30">
    <w:name w:val="List Paragraph"/>
    <w:basedOn w:val="73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38"/>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38"/>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8"/>
    <w:link w:val="747"/>
    <w:uiPriority w:val="99"/>
  </w:style>
  <w:style w:type="character" w:styleId="44">
    <w:name w:val="Footer Char"/>
    <w:basedOn w:val="738"/>
    <w:link w:val="749"/>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49"/>
    <w:uiPriority w:val="99"/>
  </w:style>
  <w:style w:type="table" w:styleId="48">
    <w:name w:val="Table Grid Light"/>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3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3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3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3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3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3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3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3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3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3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3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3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3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8"/>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8"/>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pPr>
      <w:ind w:left="1080"/>
      <w:spacing w:after="0" w:line="240" w:lineRule="auto"/>
    </w:pPr>
    <w:rPr>
      <w:rFonts w:hAnsi="Arial" w:eastAsia="Arial"/>
      <w:sz w:val="20"/>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paragraph" w:styleId="74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42" w:customStyle="1">
    <w:name w:val="Détail"/>
    <w:basedOn w:val="741"/>
    <w:qFormat/>
    <w:pPr>
      <w:numPr>
        <w:numId w:val="1"/>
      </w:numPr>
    </w:pPr>
  </w:style>
  <w:style w:type="paragraph" w:styleId="743" w:customStyle="1">
    <w:name w:val="Type de détail"/>
    <w:basedOn w:val="742"/>
    <w:qFormat/>
    <w:pPr>
      <w:numPr>
        <w:numId w:val="2"/>
      </w:numPr>
    </w:pPr>
    <w:rPr>
      <w:b/>
      <w:sz w:val="28"/>
    </w:rPr>
  </w:style>
  <w:style w:type="paragraph" w:styleId="744" w:customStyle="1">
    <w:name w:val="historique"/>
    <w:basedOn w:val="737"/>
    <w:qFormat/>
    <w:rPr>
      <w:sz w:val="16"/>
    </w:rPr>
  </w:style>
  <w:style w:type="paragraph" w:styleId="745" w:customStyle="1">
    <w:name w:val="Titre1"/>
    <w:basedOn w:val="741"/>
    <w:qFormat/>
    <w:rPr>
      <w:b/>
      <w:sz w:val="28"/>
    </w:rPr>
  </w:style>
  <w:style w:type="paragraph" w:styleId="746" w:customStyle="1">
    <w:name w:val="Alinéa"/>
    <w:basedOn w:val="741"/>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747">
    <w:name w:val="Header"/>
    <w:basedOn w:val="737"/>
    <w:link w:val="748"/>
    <w:pPr>
      <w:tabs>
        <w:tab w:val="center" w:pos="4536" w:leader="none"/>
        <w:tab w:val="right" w:pos="9072" w:leader="none"/>
      </w:tabs>
    </w:pPr>
  </w:style>
  <w:style w:type="character" w:styleId="748" w:customStyle="1">
    <w:name w:val="En-tête Car"/>
    <w:basedOn w:val="738"/>
    <w:link w:val="747"/>
    <w:rPr>
      <w:rFonts w:hAnsi="Arial" w:eastAsia="Arial"/>
      <w:sz w:val="20"/>
    </w:rPr>
  </w:style>
  <w:style w:type="paragraph" w:styleId="749">
    <w:name w:val="Footer"/>
    <w:basedOn w:val="737"/>
    <w:link w:val="750"/>
    <w:pPr>
      <w:tabs>
        <w:tab w:val="center" w:pos="4536" w:leader="none"/>
        <w:tab w:val="right" w:pos="9072" w:leader="none"/>
      </w:tabs>
    </w:pPr>
  </w:style>
  <w:style w:type="character" w:styleId="750" w:customStyle="1">
    <w:name w:val="Pied de page Car"/>
    <w:basedOn w:val="738"/>
    <w:link w:val="749"/>
    <w:rPr>
      <w:rFonts w:hAnsi="Arial" w:eastAsia="Arial"/>
      <w:sz w:val="20"/>
    </w:rPr>
  </w:style>
  <w:style w:type="table" w:styleId="751">
    <w:name w:val="Table Grid"/>
    <w:basedOn w:val="7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2">
    <w:name w:val="Default Paragraph Font PHPDOCX"/>
    <w:uiPriority w:val="1"/>
    <w:semiHidden/>
    <w:unhideWhenUsed/>
  </w:style>
  <w:style w:type="paragraph" w:styleId="753">
    <w:name w:val="List Paragraph PHPDOCX"/>
    <w:basedOn w:val="737"/>
    <w:uiPriority w:val="34"/>
    <w:qFormat/>
    <w:pPr>
      <w:contextualSpacing/>
      <w:ind w:left="720"/>
    </w:pPr>
  </w:style>
  <w:style w:type="paragraph" w:styleId="754">
    <w:name w:val="Title PHPDOCX"/>
    <w:basedOn w:val="737"/>
    <w:next w:val="737"/>
    <w:link w:val="75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55" w:customStyle="1">
    <w:name w:val="Title Car PHPDOCX"/>
    <w:basedOn w:val="752"/>
    <w:link w:val="754"/>
    <w:uiPriority w:val="10"/>
    <w:rPr>
      <w:rFonts w:asciiTheme="majorHAnsi" w:hAnsiTheme="majorHAnsi" w:eastAsiaTheme="majorEastAsia" w:cstheme="majorBidi"/>
      <w:color w:val="17365d" w:themeColor="text2" w:themeShade="BF"/>
      <w:spacing w:val="5"/>
      <w:sz w:val="52"/>
      <w:szCs w:val="52"/>
    </w:rPr>
  </w:style>
  <w:style w:type="paragraph" w:styleId="756">
    <w:name w:val="Subtitle PHPDOCX"/>
    <w:basedOn w:val="737"/>
    <w:next w:val="737"/>
    <w:link w:val="75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57" w:customStyle="1">
    <w:name w:val="Subtitle Car PHPDOCX"/>
    <w:basedOn w:val="752"/>
    <w:link w:val="756"/>
    <w:uiPriority w:val="11"/>
    <w:rPr>
      <w:rFonts w:asciiTheme="majorHAnsi" w:hAnsiTheme="majorHAnsi" w:eastAsiaTheme="majorEastAsia" w:cstheme="majorBidi"/>
      <w:i/>
      <w:iCs/>
      <w:color w:val="4f81bd" w:themeColor="accent1"/>
      <w:spacing w:val="15"/>
      <w:sz w:val="24"/>
      <w:szCs w:val="24"/>
    </w:rPr>
  </w:style>
  <w:style w:type="table" w:styleId="75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5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60">
    <w:name w:val="annotation reference PHPDOCX"/>
    <w:basedOn w:val="752"/>
    <w:uiPriority w:val="99"/>
    <w:semiHidden/>
    <w:unhideWhenUsed/>
    <w:rPr>
      <w:sz w:val="16"/>
      <w:szCs w:val="16"/>
    </w:rPr>
  </w:style>
  <w:style w:type="paragraph" w:styleId="761">
    <w:name w:val="annotation text PHPDOCX"/>
    <w:basedOn w:val="737"/>
    <w:link w:val="762"/>
    <w:uiPriority w:val="99"/>
    <w:semiHidden/>
    <w:unhideWhenUsed/>
    <w:pPr>
      <w:spacing w:line="240" w:lineRule="auto"/>
    </w:pPr>
    <w:rPr>
      <w:sz w:val="20"/>
      <w:szCs w:val="20"/>
    </w:rPr>
  </w:style>
  <w:style w:type="character" w:styleId="762" w:customStyle="1">
    <w:name w:val="Comment Text Char PHPDOCX"/>
    <w:basedOn w:val="752"/>
    <w:link w:val="761"/>
    <w:uiPriority w:val="99"/>
    <w:semiHidden/>
    <w:rPr>
      <w:sz w:val="20"/>
      <w:szCs w:val="20"/>
    </w:rPr>
  </w:style>
  <w:style w:type="paragraph" w:styleId="763">
    <w:name w:val="annotation subject PHPDOCX"/>
    <w:basedOn w:val="761"/>
    <w:next w:val="761"/>
    <w:link w:val="764"/>
    <w:uiPriority w:val="99"/>
    <w:semiHidden/>
    <w:unhideWhenUsed/>
    <w:rPr>
      <w:b/>
      <w:bCs/>
    </w:rPr>
  </w:style>
  <w:style w:type="character" w:styleId="764" w:customStyle="1">
    <w:name w:val="Comment Subject Char PHPDOCX"/>
    <w:basedOn w:val="762"/>
    <w:link w:val="763"/>
    <w:uiPriority w:val="99"/>
    <w:semiHidden/>
    <w:rPr>
      <w:b/>
      <w:bCs/>
      <w:sz w:val="20"/>
      <w:szCs w:val="20"/>
    </w:rPr>
  </w:style>
  <w:style w:type="paragraph" w:styleId="765">
    <w:name w:val="Balloon Text PHPDOCX"/>
    <w:basedOn w:val="737"/>
    <w:link w:val="766"/>
    <w:uiPriority w:val="99"/>
    <w:semiHidden/>
    <w:unhideWhenUsed/>
    <w:pPr>
      <w:spacing w:after="0" w:line="240" w:lineRule="auto"/>
    </w:pPr>
    <w:rPr>
      <w:rFonts w:ascii="Tahoma" w:hAnsi="Tahoma" w:cs="Tahoma"/>
      <w:sz w:val="16"/>
      <w:szCs w:val="16"/>
    </w:rPr>
  </w:style>
  <w:style w:type="character" w:styleId="766" w:customStyle="1">
    <w:name w:val="Balloon Text Char PHPDOCX"/>
    <w:basedOn w:val="752"/>
    <w:link w:val="765"/>
    <w:uiPriority w:val="99"/>
    <w:semiHidden/>
    <w:rPr>
      <w:rFonts w:ascii="Tahoma" w:hAnsi="Tahoma" w:cs="Tahoma"/>
      <w:sz w:val="16"/>
      <w:szCs w:val="16"/>
    </w:rPr>
  </w:style>
  <w:style w:type="paragraph" w:styleId="767">
    <w:name w:val="footnote Text PHPDOCX"/>
    <w:basedOn w:val="737"/>
    <w:link w:val="768"/>
    <w:uiPriority w:val="99"/>
    <w:semiHidden/>
    <w:unhideWhenUsed/>
    <w:pPr>
      <w:spacing w:after="0" w:line="240" w:lineRule="auto"/>
    </w:pPr>
    <w:rPr>
      <w:sz w:val="20"/>
      <w:szCs w:val="20"/>
    </w:rPr>
  </w:style>
  <w:style w:type="character" w:styleId="768" w:customStyle="1">
    <w:name w:val="footnote Text Car PHPDOCX"/>
    <w:basedOn w:val="752"/>
    <w:link w:val="767"/>
    <w:uiPriority w:val="99"/>
    <w:semiHidden/>
    <w:rPr>
      <w:sz w:val="20"/>
      <w:szCs w:val="20"/>
    </w:rPr>
  </w:style>
  <w:style w:type="character" w:styleId="769">
    <w:name w:val="footnote Reference PHPDOCX"/>
    <w:basedOn w:val="752"/>
    <w:uiPriority w:val="99"/>
    <w:semiHidden/>
    <w:unhideWhenUsed/>
    <w:rPr>
      <w:vertAlign w:val="superscript"/>
    </w:rPr>
  </w:style>
  <w:style w:type="paragraph" w:styleId="770">
    <w:name w:val="endnote Text PHPDOCX"/>
    <w:basedOn w:val="737"/>
    <w:link w:val="771"/>
    <w:uiPriority w:val="99"/>
    <w:semiHidden/>
    <w:unhideWhenUsed/>
    <w:pPr>
      <w:spacing w:after="0" w:line="240" w:lineRule="auto"/>
    </w:pPr>
    <w:rPr>
      <w:sz w:val="20"/>
      <w:szCs w:val="20"/>
    </w:rPr>
  </w:style>
  <w:style w:type="character" w:styleId="771" w:customStyle="1">
    <w:name w:val="endnote Text Car PHPDOCX"/>
    <w:basedOn w:val="752"/>
    <w:link w:val="770"/>
    <w:uiPriority w:val="99"/>
    <w:semiHidden/>
    <w:rPr>
      <w:sz w:val="20"/>
      <w:szCs w:val="20"/>
    </w:rPr>
  </w:style>
  <w:style w:type="character" w:styleId="772">
    <w:name w:val="endnote Reference PHPDOCX"/>
    <w:basedOn w:val="752"/>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hyperlink" Target="http://www.georisques.gouv.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22</cp:revision>
  <dcterms:created xsi:type="dcterms:W3CDTF">2024-06-26T12:48:00Z</dcterms:created>
  <dcterms:modified xsi:type="dcterms:W3CDTF">2025-01-07T09:57:10Z</dcterms:modified>
</cp:coreProperties>
</file>