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Marcel et Dominique LEPAGE</w:t>
              <w:br w:type="textWrapping"/>
            </w:r>
            <w:r>
              <w:rPr>
                <w:sz w:val="22"/>
              </w:rPr>
              <w:t xml:space="preserve">46090 FLOTTE</w:t>
              <w:br w:type="textWrapping"/>
            </w:r>
            <w:r>
              <w:rPr>
                <w:sz w:val="22"/>
              </w:rPr>
              <w:t xml:space="preserve">Tél. : 0637642705 0635482613 0565227370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lepagemarcel@outlook.fr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25815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21 janvier 2025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120000 à 465000 - Type de bien : Maison Ancienne, Maison Contemporaine - Secteur ou code postal : Région CAHORS  46000,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CA6966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226 rue de la pouponiere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349 800 € honoraires d'agence inclus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CA6969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84 rue Sully Prudhomme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246 100 € honoraires d'agence inclus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CA6904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57 chemin de la combe de minuit 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265 000 €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21 janvier 2025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Marcel et Dominique LEPAGE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