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161pour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 avec Cuisine équipée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Castagnié Corinne 922 Route de Trespoux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Castagnié Corinne 922 Route de Trespoux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7 019 du bien sis 161 Rue Gustave Sindou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6</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