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6 988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:- 394 rue Wilson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RARE, CAHORS HYPER CENTRE. APPARTEMENT AVEC TERRASSE JARDIN ET PISCINE De belles prestations pour cet appartement de 134 m² de surface habitable au 1er étage d'un immeuble du centre-ville de Cahors. L’appartement offre 3 chambres et pièces à vivre, cuisine donnant sur la terrasse. Petite copropriété avec syndic bénévole. A voir absolument Les informations sur les risques auxquels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</w:t>
      </w:r>
      <w:r>
        <w:rPr>
          <w:color w:val="000000"/>
          <w:sz w:val="16"/>
        </w:rPr>
        <w:t xml:space="preserve">Lots N°7/9/10/13/14 pour 355/1000° </w:t>
      </w:r>
      <w:r>
        <w:rPr>
          <w:sz w:val="16"/>
        </w:rPr>
        <w:t xml:space="preserve">de la copropriété </w:t>
      </w:r>
      <w:r>
        <w:rPr>
          <w:b w:val="on"/>
          <w:sz w:val="22"/>
        </w:rPr>
        <w:t xml:space="preserve">	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Mr&amp; 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Mares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- 394 rue du président Wilson 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mares.frederic@neuf.fr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- 0608364770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Deschamps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elle: virginiecolongesperso@gmail.com; lui : daveblack972@gmail.com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- 0686820038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(voir CNI jointes (les acquéreurs sont déja clients de l'étude)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Situation familiale : voir livret de famille joint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200000€	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crédit relai  :146500	€ aupres du CA ile de france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5%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courant du mois de juin 2025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:2400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3 DERNIERES AG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 : benevole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dossiers joints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oui , la liste sera jointe avec factures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oui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piscineOUI ,  détecteur de fumée OUI,  chaudière (facture entretien SERA FOURNIE POUR L ACTE ),  fibre optique OUI DANS L IMMEUBLE,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330 000 €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16 500 €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ME PIERRE FAURIE GREPON ET MAITRE ARNOUX NATHALIE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6 janvier 2025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