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494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494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 atteste par la présente avoir visité le 22 décembre 2024, une Maison Contemporaine sise chemin pech des sarruts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 AOUNI Fathi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Maison neuve de 120 m² de surface habitable de plain pied , implantée sur un terrain en situation dominate de 4154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Rez de chaussée</w:t>
      </w:r>
      <w:r>
        <w:rPr>
          <w:color w:val="000000"/>
        </w:rPr>
        <w:t xml:space="preserve"> : 3 chambres , séjour , cuisine ouverte , 2 salles d'eau , 2 wc , dressing, cellier , va ste terrasse de 54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Rez de jardin </w:t>
      </w:r>
      <w:r>
        <w:rPr>
          <w:color w:val="000000"/>
        </w:rPr>
        <w:t xml:space="preserve">: double garage avec buanderie sur le fond pour une superficie totale de 190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L'ensemble est une construction neuve ( 2022)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Restent quelques travaux à terminer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1- enduits de façade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2- terrassement paysager des extérieurs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3- certaines finitions intérieures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Points positifs de la propriété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1-Sur la commune de Cahors , à quelques minutes de l'entrée Nord de la ville et à quelques minutes de l'accés autoroute.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2-Chauffage par pompe à chaleur , chauffe eau thermodynamique, isolation thermique de qualité.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3- Situation offrant une vue imprenable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AK 172 et 176 de la commune de Cahors pour  4 154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 -détails techniques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2 Garages avec buanderie  pour  environ 196 m²</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Arrière-cuisine 4,72m²</w:t>
      </w:r>
    </w:p>
    <w:p>
      <w:pPr>
        <w:pStyle w:val="Détail"/>
        <w:numPr>
          <w:ilvl w:val="0"/>
          <w:numId w:val="4"/>
        </w:numPr>
        <w:rPr>
          <w:sz w:val="20"/>
        </w:rPr>
      </w:pPr>
      <w:r>
        <w:rPr>
          <w:sz w:val="20"/>
        </w:rPr>
        <w:t xml:space="preserve">3 Chambres 13,20/14,12/14,60m²</w:t>
      </w:r>
    </w:p>
    <w:p>
      <w:pPr>
        <w:pStyle w:val="Détail"/>
        <w:numPr>
          <w:ilvl w:val="0"/>
          <w:numId w:val="4"/>
        </w:numPr>
        <w:rPr>
          <w:sz w:val="20"/>
        </w:rPr>
      </w:pPr>
      <w:r>
        <w:rPr>
          <w:sz w:val="20"/>
        </w:rPr>
        <w:t xml:space="preserve">Dégagement 6,00 m²</w:t>
      </w:r>
    </w:p>
    <w:p>
      <w:pPr>
        <w:pStyle w:val="Détail"/>
        <w:numPr>
          <w:ilvl w:val="0"/>
          <w:numId w:val="4"/>
        </w:numPr>
        <w:rPr>
          <w:sz w:val="20"/>
        </w:rPr>
      </w:pPr>
      <w:r>
        <w:rPr>
          <w:sz w:val="20"/>
        </w:rPr>
        <w:t xml:space="preserve">Dressing 5,40m²</w:t>
      </w:r>
    </w:p>
    <w:p>
      <w:pPr>
        <w:pStyle w:val="Détail"/>
        <w:numPr>
          <w:ilvl w:val="0"/>
          <w:numId w:val="4"/>
        </w:numPr>
        <w:rPr>
          <w:sz w:val="20"/>
        </w:rPr>
      </w:pPr>
      <w:r>
        <w:rPr>
          <w:sz w:val="20"/>
        </w:rPr>
        <w:t xml:space="preserve">Séjour avec cuisine ouverte 43,92 m²</w:t>
      </w:r>
    </w:p>
    <w:p>
      <w:pPr>
        <w:pStyle w:val="Détail"/>
        <w:numPr>
          <w:ilvl w:val="0"/>
          <w:numId w:val="4"/>
        </w:numPr>
        <w:rPr>
          <w:sz w:val="20"/>
        </w:rPr>
      </w:pPr>
      <w:r>
        <w:rPr>
          <w:sz w:val="20"/>
        </w:rPr>
        <w:t xml:space="preserve">2 Salles d'eau 5,10/7,08m²</w:t>
      </w:r>
    </w:p>
    <w:p>
      <w:pPr>
        <w:pStyle w:val="Détail"/>
        <w:numPr>
          <w:ilvl w:val="0"/>
          <w:numId w:val="4"/>
        </w:numPr>
        <w:rPr>
          <w:sz w:val="20"/>
        </w:rPr>
      </w:pPr>
      <w:r>
        <w:rPr>
          <w:sz w:val="20"/>
        </w:rPr>
        <w:t xml:space="preserve">2 WC 1,40/2,20m²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Frigo</w:t>
      </w:r>
    </w:p>
    <w:p>
      <w:pPr>
        <w:pStyle w:val="Détail"/>
        <w:numPr>
          <w:ilvl w:val="0"/>
          <w:numId w:val="4"/>
        </w:numPr>
        <w:rPr>
          <w:sz w:val="20"/>
        </w:rPr>
      </w:pPr>
      <w:r>
        <w:rPr>
          <w:sz w:val="20"/>
        </w:rPr>
        <w:t xml:space="preserve">Hotte aspirante</w:t>
      </w:r>
    </w:p>
    <w:p>
      <w:pPr>
        <w:pStyle w:val="Détail"/>
        <w:numPr>
          <w:ilvl w:val="0"/>
          <w:numId w:val="4"/>
        </w:numPr>
        <w:rPr>
          <w:sz w:val="20"/>
        </w:rPr>
      </w:pPr>
      <w:r>
        <w:rPr>
          <w:sz w:val="20"/>
        </w:rPr>
        <w:t xml:space="preserve">Lave vaisselle</w:t>
      </w:r>
    </w:p>
    <w:p>
      <w:pPr>
        <w:pStyle w:val="Détail"/>
        <w:numPr>
          <w:ilvl w:val="0"/>
          <w:numId w:val="4"/>
        </w:numPr>
        <w:rPr>
          <w:sz w:val="20"/>
        </w:rPr>
      </w:pPr>
      <w:r>
        <w:rPr>
          <w:sz w:val="20"/>
        </w:rPr>
        <w:t xml:space="preserve">Plaque à induction</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Assainissement de type mini station d'épuration en totale conformité 2023</w:t>
      </w:r>
    </w:p>
    <w:p>
      <w:pPr>
        <w:pStyle w:val="Détail"/>
        <w:numPr>
          <w:ilvl w:val="0"/>
          <w:numId w:val="4"/>
        </w:numPr>
        <w:rPr>
          <w:sz w:val="20"/>
        </w:rPr>
      </w:pPr>
      <w:r>
        <w:rPr>
          <w:sz w:val="20"/>
        </w:rPr>
        <w:t xml:space="preserve">Placard plusieurs</w:t>
      </w:r>
    </w:p>
    <w:p>
      <w:pPr>
        <w:pStyle w:val="Détail"/>
        <w:numPr>
          <w:ilvl w:val="0"/>
          <w:numId w:val="4"/>
        </w:numPr>
        <w:rPr>
          <w:sz w:val="20"/>
        </w:rPr>
      </w:pPr>
      <w:r>
        <w:rPr>
          <w:sz w:val="20"/>
        </w:rPr>
        <w:t xml:space="preserve">Production eau chaude</w:t>
      </w:r>
    </w:p>
    <w:p>
      <w:pPr>
        <w:pStyle w:val="Type de détail"/>
        <w:numPr>
          <w:ilvl w:val="0"/>
          <w:numId w:val="3"/>
        </w:numPr>
        <w:rPr>
          <w:sz w:val="20"/>
        </w:rPr>
      </w:pPr>
      <w:r>
        <w:rPr>
          <w:sz w:val="20"/>
        </w:rPr>
        <w:t xml:space="preserve">Equipements Electrique:</w:t>
      </w:r>
    </w:p>
    <w:p>
      <w:pPr>
        <w:pStyle w:val="Détail"/>
        <w:numPr>
          <w:ilvl w:val="0"/>
          <w:numId w:val="4"/>
        </w:numPr>
        <w:rPr>
          <w:sz w:val="20"/>
        </w:rPr>
      </w:pPr>
      <w:r>
        <w:rPr>
          <w:sz w:val="20"/>
        </w:rPr>
        <w:t xml:space="preserve">Porte de garage électrique</w:t>
      </w:r>
    </w:p>
    <w:p>
      <w:pPr>
        <w:pStyle w:val="Détail"/>
        <w:numPr>
          <w:ilvl w:val="0"/>
          <w:numId w:val="4"/>
        </w:numPr>
        <w:rPr>
          <w:sz w:val="20"/>
        </w:rPr>
      </w:pPr>
      <w:r>
        <w:rPr>
          <w:sz w:val="20"/>
        </w:rPr>
        <w:t xml:space="preserve">Volet électrique)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mecaniques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rPr>
          <w:sz w:val="24"/>
        </w:rPr>
        <w:t xml:space="preserve">	</w:t>
      </w:r>
      <w:r>
        <w:t xml:space="preserve">A l'issue de cette visite, j'ai évalué ce bien entre </w:t>
      </w:r>
      <w:r>
        <w:rPr>
          <w:b w:val="on"/>
        </w:rPr>
        <w:t xml:space="preserve">220 000 €</w:t>
      </w:r>
      <w:r>
        <w:t xml:space="preserve"> (</w:t>
      </w:r>
      <w:r>
        <w:rPr>
          <w:b w:val="on"/>
        </w:rPr>
        <w:t xml:space="preserve">DEUX CENT VINGT MILLE EUROS</w:t>
      </w:r>
      <w:r>
        <w:t xml:space="preserve">) et </w:t>
      </w:r>
      <w:r>
        <w:rPr>
          <w:b w:val="on"/>
        </w:rPr>
        <w:t xml:space="preserve">230 000 €</w:t>
      </w:r>
      <w:r>
        <w:t xml:space="preserve"> (</w:t>
      </w:r>
      <w:r>
        <w:rPr>
          <w:b w:val="on"/>
        </w:rPr>
        <w:t xml:space="preserve">DEUX CENT TRENTE  MILLE EUROS</w:t>
      </w:r>
      <w: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Cette évaluation a été donnée sur la base de l'état des prestations du bien, de sa situation, du marché immobilier  à ce jour sur ce secteur et sous réserve du résultat favorable des expertises immobilières obligatoires : termites, électricité,diagnostic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Fait à Cahors, le 23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