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Chamayou  Regis et Nathalie  </w:t>
      </w:r>
      <w:r>
        <w:t xml:space="preserve">473 pech de litieres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8 925 €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w:t>
      </w:r>
      <w:r>
        <w:rPr>
          <w:b w:val="on"/>
        </w:rPr>
        <w:t xml:space="preserve">Cahors le 10 décembre 2024</w:t>
      </w:r>
      <w:r>
        <w:rPr>
          <w:rFonts w:ascii="Times New Roman" w:hAnsi="Times New Roman" w:eastAsia="Times New Roman"/>
          <w:b w:val="on"/>
          <w:sz w:val="20"/>
        </w:rPr>
        <w:t xml:space="preserv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Chamayou  Regis et Nathalie  </w:t>
      </w:r>
      <w:r>
        <w:t xml:space="preserve">473 pech de litieres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résidence Lafontaine- Batiment B2 - 3eme étage - rue J.Brel</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centre ville, appartement T3 joliment rénové  au 3ème étage d'une résidence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Entrée , séjour, cuisine équipée avec arrière cuisine, 2 chambres , couloir avec placards, salle d'eau, wc indépendant.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vitrage.Chauffage électrique.Cellier  en rdc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 Lot 86 appart, lot 78 cellier pour les 143/10000° de la copropriété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105 000 € (CENT 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7 437 € HT soit 8 925 €</w:t>
      </w:r>
      <w:r>
        <w:rPr>
          <w:color w:val="0000FF"/>
        </w:rPr>
        <w:t xml:space="preserve"> (</w:t>
      </w:r>
      <w:r>
        <w:t xml:space="preserve">HUIT MILLE NEUF CENT VINGT-CINQ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 décembre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Chamayou  Regis et Nathalie 473 pech de litieres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7 007 sis résidence Lafontaine- rue J.Brel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Chamayou  Regis et Nathalie 473 pech de litieres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7 007 du bien sis résidence Lafontaine- rue J.Brel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