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2381250" cy="117157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0" cy="1171575"/>
                    </a:xfrm>
                    <a:prstGeom prst="rect">
                      <a:avLst/>
                    </a:prstGeom>
                  </pic:spPr>
                </pic:pic>
              </a:graphicData>
            </a:graphic>
          </wp:inline>
        </w:drawing>
      </w:r>
      <w:r>
        <w:rPr>
          <w:sz w:val="24"/>
        </w:rPr>
        <w:t xml:space="preserve"> </w:t>
      </w:r>
      <w:r>
        <w:drawing>
          <wp:inline distT="0" distB="0" distL="0" distR="0">
            <wp:extent cx="2838450" cy="11811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838450" cy="118110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4 décembre 2024, un Immeuble composé de locaux commerciaux et d'un appartement  sis 112 chemin de bellecroix 46000 CAHORS appartenant à  La SCI La Bellutoise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 </w:t>
      </w:r>
      <w:r>
        <w:rPr>
          <w:b w:val="on"/>
          <w:u w:val="single"/>
        </w:rPr>
        <w:t xml:space="preserve">Description: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Sur la commune de Cahors, cadastré CZ 419/419 pour une superficie totale de 1999m².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Pour une première partie, il s’agit d’une surface développée de 380.71m² de locaux affectés à usage de bureaux et entrepôts loués par les Ets Delpech.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Pour une deuxième partie, des locaux d’une superficie de 456 m² à usage commercial et de stockage loués par la Sté Piscines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Pour une troisième partie, un appartement loué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rPr>
          <w:b w:val="on"/>
          <w:u w:val="single"/>
        </w:rPr>
        <w:t xml:space="preserve">Etat: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Il s’agit de bâtiments en bardages sur structure métallique et construction maçonnée traditionnelle, doublés, isolés, aménagées, pourvus de sanitaires pour les parties bureaux et zone commerciales.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L’ensemble de la couverture est de type plaque de fibrociment (susceptible de contenir de l’amiante).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L’état général des locaux est entretenu, les locaux ont environ 30ans.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Affectation des locaux: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Les Ets Delpech louent leur partie à 15600€/an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La société Piscine cahors loue à 19200€/an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L’appartement est loué 6000€/an + charges.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Le revenu locatif brut de cet ensemble est donc de 40800€/an.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rPr>
          <w:b w:val="on"/>
          <w:u w:val="single"/>
        </w:rPr>
        <w:t xml:space="preserve">Obligations des parties: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Les locataires doivent droit de passage sur leur parking respectif aux deux bailleurs privés propriétaires de maisons en contre haut du terrain.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rPr>
          <w:b w:val="on"/>
          <w:u w:val="single"/>
        </w:rPr>
        <w:t xml:space="preserve">Facteurs locaux de commercialité: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-présence d’un PPRI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-au cœur d’une zone commerciale, desservi par les transports en commun, pourvu de parking, l’emplacement présente l’attrait lié au développement de la zone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rPr>
          <w:b w:val="on"/>
          <w:u w:val="single"/>
        </w:rPr>
        <w:t xml:space="preserve">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-compte tenu de l’état général des bâtiments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 compte tenu du PPRI en vigueur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-compte tenu de la rentabilité locative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pPr>
      <w:r>
        <w:t xml:space="preserve">Au vu de comparatifs rondérés, avec des locaux similaires sur des zones d’activité similaires ,j’évalue cet ensemble au prix de 450000€.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cadastré CZ 419/419 pour une superficie totale de 1999m²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Immeuble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DPE:</w:t>
      </w:r>
    </w:p>
    <w:p>
      <w:pPr>
        <w:pStyle w:val="Détail"/>
        <w:numPr>
          <w:ilvl w:val="0"/>
          <w:numId w:val="4"/>
        </w:numPr>
      </w:pPr>
      <w:r>
        <w:t xml:space="preserve">Consommation énergétique en énergie primaire: non fourni</w:t>
      </w:r>
    </w:p>
    <w:p>
      <w:pPr>
        <w:pStyle w:val="Détail"/>
        <w:numPr>
          <w:ilvl w:val="0"/>
          <w:numId w:val="4"/>
        </w:numPr>
      </w:pPr>
      <w:r>
        <w:t xml:space="preserve">Emission de gaz à effet de serre: non fourni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450 000 €</w:t>
      </w:r>
      <w:r>
        <w:rPr>
          <w:sz w:val="24"/>
        </w:rPr>
        <w:t xml:space="preserve"> (</w:t>
      </w:r>
      <w:r>
        <w:rPr>
          <w:b w:val="on"/>
          <w:sz w:val="24"/>
        </w:rPr>
        <w:t xml:space="preserve">QUATRE CENT CINQUANTE MILLE EUROS</w:t>
      </w:r>
      <w:r>
        <w:rPr>
          <w:sz w:val="24"/>
        </w:rPr>
        <w:t xml:space="preserve">) et </w:t>
      </w:r>
      <w:r>
        <w:rPr>
          <w:b w:val="on"/>
          <w:sz w:val="24"/>
        </w:rPr>
        <w:t xml:space="preserve">450 000 €</w:t>
      </w:r>
      <w:r>
        <w:rPr>
          <w:sz w:val="24"/>
        </w:rPr>
        <w:t xml:space="preserve"> (</w:t>
      </w:r>
      <w:r>
        <w:rPr>
          <w:b w:val="on"/>
          <w:sz w:val="24"/>
        </w:rPr>
        <w:t xml:space="preserve">QUATRE CENT CINQUANTE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4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