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0191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019175"/>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19 novembre 2024, un Immeuble sis 98 rue de l'université 46000 CAHORS appartenant à Mr Vaissieres Sté SCCAMS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Immeuble de rapport comprenant à usage mixte ( commercial et habitation)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Au rez de chaussée</w:t>
      </w:r>
      <w:r>
        <w:rPr>
          <w:color w:val="000000"/>
        </w:rPr>
        <w:t xml:space="preserve"> : un local commercial de 136 m² loué 18000€/an accessible par le 103 Boulevard gambetta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Au 1er étage</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-un appartement de type 3 de 69m² loué </w:t>
      </w:r>
      <w:r>
        <w:rPr>
          <w:b w:val="on"/>
          <w:color w:val="000000"/>
        </w:rPr>
        <w:t xml:space="preserve">6600 €/an</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-un apartement de type T2 de 50 m² env loué </w:t>
      </w:r>
      <w:r>
        <w:rPr>
          <w:b w:val="on"/>
          <w:color w:val="000000"/>
        </w:rPr>
        <w:t xml:space="preserve">5700 €/an.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Au 2ème étage</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-un appartement de type T3 de 69 m² de surface habitable + terrasse loué </w:t>
      </w:r>
      <w:r>
        <w:rPr>
          <w:b w:val="on"/>
          <w:color w:val="000000"/>
        </w:rPr>
        <w:t xml:space="preserve">7800 €/an</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Rentabilité locative brute :</w:t>
      </w:r>
      <w:r>
        <w:rPr>
          <w:color w:val="000000"/>
        </w:rPr>
        <w:t xml:space="preserve"> </w:t>
      </w:r>
      <w:r>
        <w:rPr>
          <w:b w:val="on"/>
          <w:color w:val="000000"/>
        </w:rPr>
        <w:t xml:space="preserve">38100 €/an.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Taxe foncière de </w:t>
      </w:r>
      <w:r>
        <w:rPr>
          <w:b w:val="on"/>
          <w:color w:val="000000"/>
        </w:rPr>
        <w:t xml:space="preserve">7200 €</w:t>
      </w:r>
      <w:r>
        <w:rPr>
          <w:color w:val="000000"/>
        </w:rPr>
        <w:t xml:space="preserve"> intégralement à la charge du propriétaire.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Des travaux sont à prévoir en cage d'eslier et façades.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324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Parcelles n° CH 787/788 pour 190m²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Immeuble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DPE:</w:t>
      </w:r>
    </w:p>
    <w:p>
      <w:pPr>
        <w:pStyle w:val="Détail"/>
        <w:numPr>
          <w:ilvl w:val="0"/>
          <w:numId w:val="4"/>
        </w:numPr>
      </w:pPr>
      <w:r>
        <w:t xml:space="preserve">Consommation énergétique en énergie primaire: </w:t>
      </w:r>
      <w:r>
        <w:rPr>
          <w:b w:val="on"/>
        </w:rPr>
        <w:t xml:space="preserve">non fourni</w:t>
      </w:r>
    </w:p>
    <w:p>
      <w:pPr>
        <w:pStyle w:val="Détail"/>
        <w:numPr>
          <w:ilvl w:val="0"/>
          <w:numId w:val="4"/>
        </w:numPr>
        <w:rPr>
          <w:b w:val="on"/>
        </w:rPr>
      </w:pPr>
      <w:r>
        <w:t xml:space="preserve">Emission de gaz à effet de serre: </w:t>
      </w:r>
      <w:r>
        <w:rPr>
          <w:b w:val="on"/>
        </w:rPr>
        <w:t xml:space="preserve">non fourni</w:t>
      </w:r>
    </w:p>
    <w:p>
      <w:pPr>
        <w:pStyle w:val="Détail"/>
        <w:numPr>
          <w:ilvl w:val="0"/>
          <w:numId w:val="5"/>
        </w:numPr>
      </w:pPr>
      <w:r>
        <w:rPr>
          <w:b w:val="on"/>
        </w:rPr>
        <w:t xml:space="preserve">DIAGNOSTICS IMMOBILIERS NON FOURNIS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345 000 €</w:t>
      </w:r>
      <w:r>
        <w:rPr>
          <w:sz w:val="24"/>
        </w:rPr>
        <w:t xml:space="preserve"> (</w:t>
      </w:r>
      <w:r>
        <w:rPr>
          <w:b w:val="on"/>
          <w:sz w:val="24"/>
        </w:rPr>
        <w:t xml:space="preserve">TROIS CENT QUARANTE CINQ MILLE EUROS</w:t>
      </w:r>
      <w:r>
        <w:rPr>
          <w:sz w:val="24"/>
        </w:rPr>
        <w:t xml:space="preserve">) et </w:t>
      </w:r>
      <w:r>
        <w:rPr>
          <w:b w:val="on"/>
          <w:sz w:val="24"/>
        </w:rPr>
        <w:t xml:space="preserve">355 000 €</w:t>
      </w:r>
      <w:r>
        <w:rPr>
          <w:sz w:val="24"/>
        </w:rPr>
        <w:t xml:space="preserve"> (</w:t>
      </w:r>
      <w:r>
        <w:rPr>
          <w:b w:val="on"/>
          <w:sz w:val="24"/>
        </w:rPr>
        <w:t xml:space="preserve">TROIS CENT CINQUANTE CINQ MILLE EUROS</w:t>
      </w:r>
      <w:r>
        <w:rPr>
          <w:sz w:val="24"/>
        </w:rPr>
        <w:t xml:space="preserv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 termites, plomb, amiante, électricité,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4">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