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
<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8"/>
              </w:rPr>
              <w:t xml:space="preserve">AVIS DE VALEUR</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center"/>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drawing>
          <wp:inline distT="0" distB="0" distL="0" distR="0">
            <wp:extent cx="1905000" cy="14287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3" name="_tx_id_3_"/>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1905000" cy="1428750"/>
                    </a:xfrm>
                    <a:prstGeom prst="rect">
                      <a:avLst/>
                    </a:prstGeom>
                  </pic:spPr>
                </pic:pic>
              </a:graphicData>
            </a:graphic>
          </wp:inline>
        </w:drawing>
      </w:r>
      <w:r>
        <w:rPr>
          <w:sz w:val="24"/>
        </w:rPr>
        <w:t xml:space="preserve"> </w:t>
      </w:r>
      <w:r>
        <w:drawing>
          <wp:inline distT="0" distB="0" distL="0" distR="0">
            <wp:extent cx="1905000" cy="1428750"/>
            <wp:docPr id="4" name="_tx_id_4_"/>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1905000" cy="1428750"/>
                    </a:xfrm>
                    <a:prstGeom prst="rect">
                      <a:avLst/>
                    </a:prstGeom>
                  </pic:spPr>
                </pic:pic>
              </a:graphicData>
            </a:graphic>
          </wp:inline>
        </w:drawing>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color w:val="000000"/>
          <w:sz w:val="22"/>
        </w:rPr>
      </w:pPr>
      <w:r>
        <w:rPr>
          <w:sz w:val="24"/>
        </w:rPr>
        <w:t xml:space="preserve">Je soussignée, Alexia, agent commercial immobilier de la Sarl Quercy Transactions, 3, place Jean-Jacques Chapou, 46000 CAHORS (Lot), atteste par la présente avoir visité le 4 novembre 2024, une Maison Ancienne sis Tourniac 46150 PONTCIRQ appartenant à Mr Varennes/ udaf Jacques.</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Descriptif</w:t>
            </w:r>
          </w:p>
        </w:tc>
      </w:tr>
    </w:tbl>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rPr>
          <w:color w:val="0000FF"/>
          <w:u w:val="single"/>
        </w:rPr>
      </w:pPr>
      <w:r>
        <w:t xml:space="preserve">Région Catus, Maison de village d’environ 87 m2 habitable sur un terrain d’environ de 200 m2 et de son potager d’environ de 250 m2. Sous-sol : Deux caves dont une voutée.</w:t>
        <w:br w:type="textWrapping"/>
      </w:r>
      <w:r>
        <w:t xml:space="preserve">A l’étage se trouve une cuisine, un cellier, un salon, deux chambres, une salle de Bain un WC indépendant. Chauffage : chaudière au fioul, fenêtres simples vitrages. Fosse septique. Les informations sur les risques auxquels ce bien est exposé sont disponibles sur le site Géorisques </w:t>
      </w:r>
      <w:r>
        <w:rPr>
          <w:color w:val="0000FF"/>
          <w:u w:val="single"/>
        </w:rPr>
        <w:t xml:space="preserve">www.georisques.gouv.fr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
        <w:t xml:space="preserve">Surface habitable environ : 87 m²</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Parcelle n°A 377,378      245 m²</w:t>
      </w:r>
    </w:p>
    <w:tbl>
      <w:tblPr>
        <w:tblW w:w="0" w:type="auto"/>
        <w:jc w:val="left"/>
        <w:tblInd w:w="30" w:type="dxa"/>
        <w:tblBorders>
          <w:top w:val="single" w:sz="4" w:space="0" w:color="auto"/>
          <w:left w:val="none"/>
          <w:bottom w:val="single" w:sz="4" w:space="0" w:color="auto"/>
          <w:right w:val="none"/>
          <w:insideH w:val="none"/>
          <w:insideV w:val="none"/>
        </w:tblBorders>
        <w:tblLayout w:type="fixed"/>
        <w:tblCellMar>
          <w:top w:w="0" w:type="dxa"/>
          <w:left w:w="30" w:type="dxa"/>
          <w:bottom w:w="0" w:type="dxa"/>
          <w:right w:w="30" w:type="dxa"/>
        </w:tblCellMar>
      </w:tblPr>
      <w:tblGrid>
        <w:gridCol w:w="9906"/>
      </w:tblGrid>
      <w:tr>
        <w:tc>
          <w:tcPr>
            <w:tcW w:w="9906" w:type="dxa"/>
            <w:shd w:val="clear" w:fill="000080"/>
            <w:vAlign w:val="top"/>
          </w:tcPr>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jc w:val="center"/>
              <w:rPr>
                <w:b w:val="on"/>
                <w:color w:val="FFFFFF"/>
                <w:sz w:val="22"/>
              </w:rPr>
            </w:pPr>
            <w:r>
              <w:rPr>
                <w:b w:val="on"/>
                <w:color w:val="FFFFFF"/>
                <w:sz w:val="22"/>
              </w:rPr>
              <w:t xml:space="preserve"> Maison Ancienne</w:t>
            </w:r>
          </w:p>
        </w:tc>
      </w:tr>
    </w:tbl>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pPr>
      <w:r>
        <w:rPr>
          <w:b w:val="on"/>
        </w:rPr>
        <w:t xml:space="preserve">Situation du bien:</w:t>
      </w:r>
      <w:r>
        <w:t xml:space="preserve">Hameau,Campagne isolée.1er étage:Arrière-cuisine 3,84m2,2 Chambres 12,86m2-16,52m2,Couloir 4,51m2,Cuisine 24,06m2,Palier 3,11m2,Salle à manger 17,81m2,Salle de bains 7,15m2,WC 1,22m2.</w:t>
      </w:r>
    </w:p>
    <w:p>
      <w:pPr>
        <w:pStyle w:val="[Normal]"/>
        <w:widowControl w:val="on"/>
      </w:pPr>
      <w:r>
        <w:rPr>
          <w:b w:val="on"/>
        </w:rPr>
        <w:t xml:space="preserve">DPE: </w:t>
      </w:r>
      <w:r>
        <w:t xml:space="preserve">Consommation énergétique en énergie primaire: Non Fournie</w:t>
      </w:r>
    </w:p>
    <w:p>
      <w:pPr>
        <w:pStyle w:val="[Normal]"/>
        <w:widowControl w:val="on"/>
      </w:pPr>
      <w:r>
        <w:t xml:space="preserve">Emission de gaz à effet de serre: Non Fournie.</w:t>
      </w:r>
    </w:p>
    <w:p>
      <w:pPr>
        <w:pStyle w:val="[Normal]"/>
        <w:widowControl w:val="on"/>
      </w:pPr>
      <w:r>
        <w:rPr>
          <w:b w:val="on"/>
        </w:rPr>
        <w:t xml:space="preserve">Chauffage:</w:t>
      </w:r>
      <w:r>
        <w:t xml:space="preserve">CC Fuel.</w:t>
      </w:r>
      <w:r>
        <w:rPr>
          <w:b w:val="on"/>
        </w:rPr>
        <w:t xml:space="preserve">Equipements de</w:t>
      </w:r>
      <w:r>
        <w:t xml:space="preserve"> </w:t>
      </w:r>
      <w:r>
        <w:rPr>
          <w:b w:val="on"/>
        </w:rPr>
        <w:t xml:space="preserve">Cuisine:</w:t>
      </w:r>
      <w:r>
        <w:t xml:space="preserve">Cuisinière au gaz,Four,Four à micro-ondes,Frigo,Hotte aspirante.</w:t>
      </w:r>
    </w:p>
    <w:p>
      <w:pPr>
        <w:pStyle w:val="[Normal]"/>
        <w:widowControl w:val="on"/>
      </w:pPr>
      <w:r>
        <w:rPr>
          <w:b w:val="on"/>
        </w:rPr>
        <w:t xml:space="preserve">Equipements divers</w:t>
      </w:r>
      <w:r>
        <w:t xml:space="preserve">:Fosse septique.</w:t>
      </w:r>
      <w:r>
        <w:rPr>
          <w:b w:val="on"/>
        </w:rPr>
        <w:t xml:space="preserve">Equipements Electriques</w:t>
      </w:r>
      <w:r>
        <w:t xml:space="preserve">:Eclairage jardin.</w:t>
      </w:r>
    </w:p>
    <w:p>
      <w:pPr>
        <w:pStyle w:val="[Normal]"/>
        <w:widowControl w:val="on"/>
      </w:pPr>
      <w:r>
        <w:rPr>
          <w:b w:val="on"/>
        </w:rPr>
        <w:t xml:space="preserve">Fenêtres</w:t>
      </w:r>
      <w:r>
        <w:t xml:space="preserve">:Fenêtres en bois,Volets Pvc,Simple vitrage.</w:t>
      </w:r>
      <w:r>
        <w:rPr>
          <w:b w:val="on"/>
        </w:rPr>
        <w:t xml:space="preserve">Services</w:t>
      </w:r>
      <w:r>
        <w:t xml:space="preserve">:Ville la plus proche : 3 KM  de Catus et  8KM  de PRAYSSAC,Autoroutes 31 minutes.Calme,Commerces  à 8km,Ecole 3,9km,Place de Parking.Sous Sol:2 Caves 37,95m2 voutées et une de 43,99m2.</w:t>
      </w:r>
      <w:r>
        <w:rPr>
          <w:b w:val="on"/>
        </w:rPr>
        <w:t xml:space="preserve">Terrain</w:t>
      </w:r>
      <w:r>
        <w:t xml:space="preserve">:Jardin 245m2,Potager 200m2.</w:t>
      </w: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b w:val="off"/>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Type de détail"/>
        <w:numPr>
          <w:ilvl w:val="0"/>
          <w:numId w:val="0"/>
        </w:numPr>
        <w:tabs>
          <w:tab w:val="left" w:pos="15876"/>
          <w:tab w:val="clear" w:pos="360"/>
        </w:tabs>
        <w:ind w:left="0" w:firstLine="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4"/>
        </w:rPr>
      </w:pPr>
      <w:r>
        <w:rPr>
          <w:sz w:val="24"/>
        </w:rPr>
        <w:t xml:space="preserve">A l'issue de cette visite, j'ai évalué ce bien entre </w:t>
      </w:r>
      <w:r>
        <w:rPr>
          <w:b w:val="on"/>
          <w:sz w:val="24"/>
        </w:rPr>
        <w:t xml:space="preserve">80 000  €</w:t>
      </w:r>
      <w:r>
        <w:rPr>
          <w:sz w:val="24"/>
        </w:rPr>
        <w:t xml:space="preserve"> (</w:t>
      </w:r>
      <w:r>
        <w:rPr>
          <w:b w:val="on"/>
          <w:sz w:val="24"/>
        </w:rPr>
        <w:t xml:space="preserve">Quatre Vingt Mille EUROS</w:t>
      </w:r>
      <w:r>
        <w:rPr>
          <w:sz w:val="24"/>
        </w:rPr>
        <w:t xml:space="preserve">) et </w:t>
      </w:r>
      <w:r>
        <w:rPr>
          <w:b w:val="on"/>
          <w:sz w:val="24"/>
        </w:rPr>
        <w:t xml:space="preserve"> 85 000€</w:t>
      </w:r>
      <w:r>
        <w:rPr>
          <w:sz w:val="24"/>
        </w:rPr>
        <w:t xml:space="preserve"> (</w:t>
      </w:r>
      <w:r>
        <w:rPr>
          <w:b w:val="on"/>
          <w:sz w:val="24"/>
        </w:rPr>
        <w:t xml:space="preserve">Quatre  Vingt Cinq Mille EUROS</w:t>
      </w:r>
      <w:r>
        <w:rPr>
          <w:sz w:val="24"/>
        </w:rPr>
        <w:t xml:space="preserve">). Cette évaluation a été donnée sur la base de l'état des prestations du bien, de sa situation, du marché immobilier et des transactions réalisées à ce jour sur ce secteur et sous réserve du résultat favorable des expertises : termites, plomb, amiante, électricité, gaz, diagnostic de performance énergétique (DPE), assainissement. Cet avis de valeur est indicatif et n'a pas de valeur d'expertise et ne peut engager notre responsabilité, n’étant pas en mesure de vérifier les éventuelles servitudes, nuisances, malfaçons ou autres troubles pouvant affecter la propriété et le reflet du marché immobilier actuel pouvant subir des fluctuations. Cet avis de valeur a une durée de validité de six mois.</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Pour servir et valoir ce que de droit,</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Fait à Cahors, le 3 Décembre 2024</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Alexia</w:t>
      </w:r>
    </w:p>
    <w:p>
      <w:pPr>
        <w:pStyle w:val="Norma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Pr>
          <w:sz w:val="24"/>
        </w:rPr>
      </w:pPr>
      <w:r>
        <w:rPr>
          <w:sz w:val="24"/>
        </w:rPr>
        <w:t xml:space="preserve">							agent commercial immobilier</w:t>
      </w:r>
    </w:p>
    <w:p>
      <w:pPr>
        <w:pStyle w:val="Titre1"/>
        <w:rPr>
          <w:b w:val="off"/>
          <w:sz w:val="24"/>
        </w:rPr>
      </w:pPr>
    </w:p>
    <w:sectPr>
      <w:headerReference w:type="default" r:id="rId00009"/>
      <w:footerReference w:type="default" r:id="rId00010"/>
      <w:pgSz w:w="11906" w:h="16837"/>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charset w:val="01"/>
    <w:family w:val="swiss"/>
    <w:pitch w:val="variable"/>
  </w:font>
  <w:font w:name="Times New Roman">
    <w:charset w:val="00"/>
    <w:family w:val="roman"/>
    <w:pitch w:val="variable"/>
  </w:font>
  <w:font w:name="Symbol">
    <w:charset w:val="02"/>
    <w:family w:val="roman"/>
    <w:pitch w:val="variable"/>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0" w:type="dxa"/>
      <w:tblBorders>
        <w:top w:val="none"/>
        <w:left w:val="none"/>
        <w:bottom w:val="none"/>
        <w:right w:val="none"/>
        <w:insideH w:val="none"/>
        <w:insideV w:val="none"/>
      </w:tblBorders>
      <w:tblLayout w:type="fixed"/>
      <w:tblCellMar>
        <w:top w:w="0" w:type="dxa"/>
        <w:left w:w="30" w:type="dxa"/>
        <w:bottom w:w="0" w:type="dxa"/>
        <w:right w:w="30" w:type="dxa"/>
      </w:tblCellMar>
    </w:tblPr>
    <w:tblGrid>
      <w:gridCol w:w="9630"/>
      <w:gridCol w:w="8"/>
    </w:tblGrid>
    <w:tr>
      <w:tc>
        <w:tcPr>
          <w:tcW w:w="9638" w:type="dxa"/>
          <w:gridSpan w:val="2"/>
          <w:shd w:val="clear" w:fill="auto"/>
          <w:vAlign w:val="top"/>
        </w:tcPr>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sz w:val="20"/>
            </w:rPr>
          </w:pPr>
        </w:p>
      </w:tc>
    </w:tr>
    <w:tr>
      <w:trPr>
        <w:gridAfter w:val="1"/>
        <w:wAfter w:w="8" w:type="dxa"/>
      </w:trPr>
      <w:tc>
        <w:tcPr>
          <w:tcW w:w="9630" w:type="dxa"/>
          <w:tcBorders>
            <w:top w:val="single" w:sz="4" w:space="0" w:color="auto"/>
          </w:tcBorders>
          <w:shd w:val="clear" w:fill="auto"/>
          <w:vAlign w:val="top"/>
        </w:tcPr>
        <w:p>
          <w:pPr>
            <w:pStyle w:val="Détail"/>
            <w:numPr>
              <w:ilvl w:val="0"/>
              <w:numId w:val="0"/>
            </w:numPr>
            <w:tabs>
              <w:tab w:val="right" w:pos="9551"/>
              <w:tab w:val="left" w:pos="9637"/>
              <w:tab w:val="left" w:pos="15876"/>
              <w:tab w:val="left" w:pos="17010"/>
              <w:tab w:val="left" w:pos="18144"/>
              <w:tab w:val="left" w:pos="19278"/>
              <w:tab w:val="left" w:pos="20412"/>
              <w:tab w:val="left" w:pos="21546"/>
              <w:tab w:val="left" w:pos="22680"/>
              <w:tab w:val="left" w:pos="23814"/>
              <w:tab w:val="left" w:pos="24948"/>
              <w:tab w:val="left" w:pos="26082"/>
              <w:tab w:val="left" w:pos="27216"/>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ind w:left="0" w:firstLine="0"/>
            <w:jc w:val="center"/>
            <w:rPr>
              <w:rFonts w:ascii="Times New Roman" w:hAnsi="Times New Roman" w:eastAsia="Times New Roman"/>
              <w:sz w:val="20"/>
            </w:rPr>
          </w:pPr>
          <w:r>
            <w:rPr>
              <w:rFonts w:ascii="Times New Roman" w:hAnsi="Times New Roman" w:eastAsia="Times New Roman"/>
              <w:sz w:val="20"/>
            </w:rPr>
            <w:t xml:space="preserve">QUERCY TRANSACTIONS 3, Place Jean-Jacques Chapou (place de la Cathédrale) 46000 CAHORS	Page </w:t>
          </w:r>
          <w:r>
            <w:rPr>
              <w:rFonts w:ascii="Times New Roman" w:hAnsi="Times New Roman" w:eastAsia="Times New Roman"/>
              <w:sz w:val="20"/>
            </w:rPr>
            <w:fldChar w:fldCharType="begin"/>
          </w:r>
          <w:r>
            <w:rPr>
              <w:rFonts w:ascii="Times New Roman" w:hAnsi="Times New Roman" w:eastAsia="Times New Roman"/>
              <w:sz w:val="20"/>
            </w:rPr>
            <w:instrText xml:space="preserve"> PAGE \* Arabic \* MERGEFORMAT </w:instrText>
          </w:r>
          <w:r>
            <w:rPr>
              <w:rFonts w:ascii="Times New Roman" w:hAnsi="Times New Roman" w:eastAsia="Times New Roman"/>
              <w:sz w:val="20"/>
            </w:rPr>
            <w:fldChar w:fldCharType="separate"/>
          </w:r>
          <w:r>
            <w:rPr>
              <w:rFonts w:ascii="Times New Roman" w:hAnsi="Times New Roman" w:eastAsia="Times New Roman"/>
              <w:sz w:val="20"/>
            </w:rPr>
            <w:t xml:space="preserve">1</w:t>
          </w:r>
          <w:r>
            <w:rPr>
              <w:rFonts w:ascii="Times New Roman" w:hAnsi="Times New Roman" w:eastAsia="Times New Roman"/>
              <w:sz w:val="20"/>
            </w:rPr>
            <w:fldChar w:fldCharType="end"/>
          </w:r>
        </w:p>
      </w:tc>
    </w:tr>
  </w:tbl>
  <w:p>
    <w:pPr>
      <w:pStyle w:val="Détail"/>
      <w:numPr>
        <w:ilvl w:val="0"/>
        <w:numId w:val="0"/>
      </w:numPr>
      <w:tabs>
        <w:tab w:val="right" w:pos="9014"/>
        <w:tab w:val="left" w:pos="9637"/>
        <w:tab w:val="left" w:pos="15876"/>
        <w:tab w:val="left" w:pos="17010"/>
        <w:tab w:val="left" w:pos="18144"/>
        <w:tab w:val="left" w:pos="19278"/>
        <w:tab w:val="left" w:pos="20412"/>
        <w:tab w:val="left" w:pos="21546"/>
        <w:tab w:val="left" w:pos="22680"/>
        <w:tab w:val="left" w:pos="23814"/>
        <w:tab w:val="left" w:pos="24948"/>
        <w:tab w:val="left" w:pos="26082"/>
        <w:tab w:val="clear" w:pos="360"/>
        <w:tab w:val="clear" w:pos="1134"/>
        <w:tab w:val="clear" w:pos="2268"/>
        <w:tab w:val="clear" w:pos="3402"/>
        <w:tab w:val="clear" w:pos="4536"/>
        <w:tab w:val="clear" w:pos="5670"/>
        <w:tab w:val="clear" w:pos="6804"/>
        <w:tab w:val="clear" w:pos="7938"/>
        <w:tab w:val="clear" w:pos="9072"/>
        <w:tab w:val="clear" w:pos="10206"/>
        <w:tab w:val="clear" w:pos="11340"/>
        <w:tab w:val="clear" w:pos="12474"/>
      </w:tabs>
      <w:ind w:left="0" w:firstLine="0"/>
      <w:jc w:val="center"/>
      <w:rPr>
        <w:rFonts w:ascii="Times New Roman" w:hAnsi="Times New Roman" w:eastAsia="Times New Roman"/>
        <w:sz w:val="20"/>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tbl>
    <w:tblPr>
      <w:tblW w:w="0" w:type="auto"/>
      <w:jc w:val="left"/>
      <w:tblInd w:w="36" w:type="dxa"/>
      <w:tblBorders>
        <w:top w:val="none"/>
        <w:left w:val="none"/>
        <w:bottom w:val="none"/>
        <w:right w:val="none"/>
        <w:insideH w:val="none"/>
        <w:insideV w:val="none"/>
      </w:tblBorders>
      <w:tblLayout w:type="fixed"/>
      <w:tblCellMar>
        <w:top w:w="0" w:type="dxa"/>
        <w:left w:w="36" w:type="dxa"/>
        <w:bottom w:w="0" w:type="dxa"/>
        <w:right w:w="36" w:type="dxa"/>
      </w:tblCellMar>
    </w:tblPr>
    <w:tblGrid>
      <w:gridCol w:w="2805"/>
      <w:gridCol w:w="6825"/>
    </w:tblGrid>
    <w:tr>
      <w:tc>
        <w:tcPr>
          <w:tcW w:w="2805" w:type="dxa"/>
          <w:shd w:val="clear" w:fill="auto"/>
          <w:vAlign w:val="top"/>
        </w:tcPr>
        <w:p>
          <w:pPr>
            <w:pStyle w:val="[Normal]"/>
            <w:widowControl w:val="on"/>
            <w:tabs>
              <w:tab w:val="left" w:pos="9637"/>
              <w:tab w:val="clear" w:pos="10206"/>
            </w:tabs>
            <w:rPr>
              <w:sz w:val="20"/>
              <w:shd w:val="clear" w:fill="FFFFFF"/>
            </w:rPr>
          </w:pPr>
          <w:r>
            <w:drawing>
              <wp:inline distT="0" distB="0" distL="0" distR="0">
                <wp:extent cx="1499235" cy="115252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499235" cy="1152525"/>
                        </a:xfrm>
                        <a:prstGeom prst="rect">
                          <a:avLst/>
                        </a:prstGeom>
                      </pic:spPr>
                    </pic:pic>
                  </a:graphicData>
                </a:graphic>
              </wp:inline>
            </w:drawing>
          </w:r>
        </w:p>
      </w:tc>
      <w:tc>
        <w:tcPr>
          <w:tcW w:w="6825" w:type="dxa"/>
          <w:shd w:val="clear" w:fill="auto"/>
          <w:vAlign w:val="top"/>
        </w:tcPr>
        <w:p>
          <w:pPr>
            <w:pStyle w:val="[Normal]"/>
            <w:widowControl w:val="on"/>
            <w:tabs>
              <w:tab w:val="left" w:pos="9637"/>
              <w:tab w:val="clear" w:pos="10206"/>
            </w:tabs>
            <w:rPr>
              <w:sz w:val="20"/>
              <w:shd w:val="clear" w:fill="FFFFFF"/>
            </w:rPr>
          </w:pPr>
        </w:p>
        <w:p>
          <w:pPr>
            <w:pStyle w:val="[Normal]"/>
            <w:widowControl w:val="on"/>
            <w:tabs>
              <w:tab w:val="left" w:pos="9637"/>
              <w:tab w:val="clear" w:pos="10206"/>
            </w:tabs>
            <w:jc w:val="center"/>
            <w:rPr>
              <w:b w:val="on"/>
              <w:sz w:val="20"/>
              <w:shd w:val="clear" w:fill="FFFFFF"/>
            </w:rPr>
          </w:pPr>
          <w:r>
            <w:rPr>
              <w:b w:val="on"/>
              <w:sz w:val="36"/>
              <w:shd w:val="clear" w:fill="FFFFFF"/>
            </w:rPr>
            <w:t xml:space="preserve">Immobilier Quercy Transactions</w:t>
          </w:r>
        </w:p>
        <w:p>
          <w:pPr>
            <w:pStyle w:val="[Normal]"/>
            <w:widowControl w:val="on"/>
            <w:tabs>
              <w:tab w:val="left" w:pos="9637"/>
              <w:tab w:val="clear" w:pos="10206"/>
            </w:tabs>
            <w:jc w:val="center"/>
            <w:rPr>
              <w:b w:val="on"/>
              <w:sz w:val="20"/>
              <w:shd w:val="clear" w:fill="FFFFFF"/>
            </w:rPr>
          </w:pPr>
          <w:r>
            <w:rPr>
              <w:b w:val="on"/>
              <w:sz w:val="20"/>
              <w:shd w:val="clear" w:fill="FFFFFF"/>
            </w:rPr>
            <w:t xml:space="preserve">3, Place Jean-Jacques Chapou (place de la Cathédrale)</w:t>
          </w:r>
        </w:p>
        <w:p>
          <w:pPr>
            <w:pStyle w:val="[Normal]"/>
            <w:widowControl w:val="on"/>
            <w:tabs>
              <w:tab w:val="left" w:pos="9637"/>
              <w:tab w:val="clear" w:pos="10206"/>
            </w:tabs>
            <w:jc w:val="center"/>
            <w:rPr>
              <w:b w:val="on"/>
              <w:sz w:val="20"/>
              <w:shd w:val="clear" w:fill="FFFFFF"/>
            </w:rPr>
          </w:pPr>
          <w:r>
            <w:rPr>
              <w:b w:val="on"/>
              <w:sz w:val="20"/>
              <w:shd w:val="clear" w:fill="FFFFFF"/>
            </w:rPr>
            <w:t xml:space="preserve">46000 CAHORS</w:t>
          </w:r>
        </w:p>
        <w:p>
          <w:pPr>
            <w:pStyle w:val="[Normal]"/>
            <w:widowControl w:val="on"/>
            <w:tabs>
              <w:tab w:val="left" w:pos="9637"/>
              <w:tab w:val="clear" w:pos="10206"/>
            </w:tabs>
            <w:jc w:val="center"/>
            <w:rPr>
              <w:b w:val="on"/>
              <w:sz w:val="20"/>
              <w:shd w:val="clear" w:fill="FFFFFF"/>
            </w:rPr>
          </w:pPr>
          <w:r>
            <w:rPr>
              <w:b w:val="on"/>
              <w:sz w:val="20"/>
              <w:shd w:val="clear" w:fill="FFFFFF"/>
            </w:rPr>
            <w:t xml:space="preserve">Tél : 05 65 53 24 76 - contact@quercy-transactions.com</w:t>
          </w:r>
        </w:p>
        <w:p>
          <w:pPr>
            <w:pStyle w:val="[Normal]"/>
            <w:widowControl w:val="on"/>
            <w:tabs>
              <w:tab w:val="left" w:pos="9637"/>
              <w:tab w:val="clear" w:pos="10206"/>
            </w:tabs>
            <w:jc w:val="center"/>
            <w:rPr>
              <w:sz w:val="20"/>
              <w:shd w:val="clear" w:fill="FFFFFF"/>
            </w:rPr>
          </w:pPr>
          <w:r>
            <w:rPr>
              <w:b w:val="on"/>
              <w:sz w:val="20"/>
              <w:shd w:val="clear" w:fill="FFFFFF"/>
            </w:rPr>
            <w:t xml:space="preserve">www.quercy-transactions.com</w:t>
          </w:r>
        </w:p>
        <w:p>
          <w:pPr>
            <w:pStyle w:val="[Normal]"/>
            <w:widowControl w:val="on"/>
            <w:tabs>
              <w:tab w:val="left" w:pos="9637"/>
              <w:tab w:val="clear" w:pos="10206"/>
            </w:tabs>
            <w:rPr>
              <w:sz w:val="20"/>
              <w:shd w:val="clear" w:fill="FFFFFF"/>
            </w:rPr>
          </w:pPr>
        </w:p>
      </w:tc>
    </w:tr>
  </w:tbl>
  <w:p>
    <w:pPr>
      <w:pStyle w:val="[Normal]"/>
      <w:widowControl w:val="on"/>
      <w:tabs>
        <w:tab w:val="left" w:pos="9637"/>
        <w:tab w:val="clear" w:pos="10206"/>
      </w:tabs>
      <w:rPr>
        <w:sz w:val="20"/>
        <w:shd w:val="clear" w:fill="FFFFFF"/>
      </w:rPr>
    </w:pPr>
  </w:p>
</w:hdr>
</file>

<file path=word/numbering.xml><?xml version="1.0" encoding="utf-8"?>
<w:numbering xmlns:w="http://schemas.openxmlformats.org/wordprocessingml/2006/main">
  <w:abstractNum w:abstractNumId="0">
    <w:multiLevelType w:val="singleLevel"/>
    <w:lvl w:ilvl="0">
      <w:start w:val="1"/>
      <w:numFmt w:val="bullet"/>
      <w:pStyle w:val="Détail"/>
      <w:suff w:val="tab"/>
      <w:lvlText w:val=""/>
      <w:pPr>
        <w:ind w:left="360" w:hanging="360"/>
        <w:tabs>
          <w:tab w:val="num" w:pos="360"/>
        </w:tabs>
      </w:pPr>
      <w:rPr>
        <w:rFonts w:hint="default" w:ascii="Symbol" w:hAnsi="Symbol" w:eastAsia="Symbol"/>
        <w:b w:val="off"/>
        <w:i w:val="off"/>
        <w:strike w:val="off"/>
        <w:color w:val="auto"/>
        <w:position w:val="0"/>
        <w:sz w:val="24"/>
        <w:u w:val="none"/>
        <w:shd w:val="clear" w:fill="auto"/>
      </w:rPr>
    </w:lvl>
  </w:abstractNum>
  <w:abstractNum w:abstractNumId="1">
    <w:multiLevelType w:val="singleLevel"/>
    <w:lvl w:ilvl="0">
      <w:start w:val="1"/>
      <w:numFmt w:val="bullet"/>
      <w:pStyle w:val="Type de détail"/>
      <w:suff w:val="tab"/>
      <w:lvlText w:val=""/>
      <w:pPr>
        <w:ind w:left="360" w:hanging="360"/>
        <w:tabs>
          <w:tab w:val="num" w:pos="360"/>
        </w:tabs>
      </w:pPr>
      <w:rPr>
        <w:rFonts w:hint="default" w:ascii="Symbol" w:hAnsi="Symbol" w:eastAsia="Symbol"/>
        <w:b w:val="on"/>
        <w:i w:val="off"/>
        <w:strike w:val="off"/>
        <w:color w:val="auto"/>
        <w:position w:val="0"/>
        <w:sz w:val="28"/>
        <w:u w:val="none"/>
        <w:shd w:val="clear" w:fill="auto"/>
      </w:rPr>
    </w:lvl>
  </w:abstractNum>
  <w:num w:numId="1">
    <w:abstractNumId w:val="0"/>
  </w:num>
  <w:num w:numId="2">
    <w:abstractNumId w:val="1"/>
  </w:num>
</w:numbering>
</file>

<file path=word/settings.xml><?xml version="1.0" encoding="utf-8"?>
<w:settings xmlns:w="http://schemas.openxmlformats.org/wordprocessingml/2006/main">
  <w:bordersDoNotSurroundHeader/>
  <w:bordersDoNotSurroundFooter/>
  <w:defaultTabStop w:val="1134"/>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b w:val="off"/>
      <w:i w:val="off"/>
      <w:strike w:val="off"/>
      <w:color w:val="auto"/>
      <w:sz w:val="24"/>
      <w:shd w:val="clear" w:fill="auto"/>
    </w:rPr>
  </w:style>
  <w:style w:type="paragraph" w:styleId="Détail">
    <w:name w:val="Détail"/>
    <w:basedOn w:val="[Normal]"/>
    <w:next w:val="Détail"/>
    <w:qFormat/>
    <w:pPr>
      <w:widowControl w:val="on"/>
      <w:numPr>
        <w:ilvl w:val="0"/>
        <w:numId w:val="1"/>
      </w:numPr>
      <w:tabs>
        <w:tab w:val="left" w:pos="360"/>
        <w:tab w:val="clear" w:pos="15876"/>
      </w:tabs>
      <w:ind w:left="360" w:hanging="360"/>
    </w:pPr>
    <w:rPr/>
  </w:style>
  <w:style w:type="paragraph" w:styleId="Type de détail">
    <w:name w:val="Type de détail"/>
    <w:basedOn w:val="Détail"/>
    <w:next w:val="Type de détail"/>
    <w:qFormat/>
    <w:pPr>
      <w:numPr>
        <w:ilvl w:val="0"/>
        <w:numId w:val="2"/>
      </w:numPr>
    </w:pPr>
    <w:rPr>
      <w:b w:val="on"/>
      <w:sz w:val="28"/>
    </w:rPr>
  </w:style>
  <w:style w:type="paragraph" w:styleId="Normal">
    <w:name w:val="Normal"/>
    <w:next w:val="Normal"/>
    <w:qFormat/>
    <w:pPr>
      <w:widowControl w:val="on"/>
      <w:spacing w:before="0" w:after="0" w:line="240" w:lineRule="auto"/>
      <w:ind w:left="1080" w:right="0" w:firstLine="0"/>
      <w:jc w:val="left"/>
    </w:pPr>
    <w:rPr>
      <w:rFonts w:ascii="Arial" w:hAnsi="Arial" w:eastAsia="Arial"/>
      <w:b w:val="off"/>
      <w:i w:val="off"/>
      <w:strike w:val="off"/>
      <w:color w:val="auto"/>
      <w:sz w:val="20"/>
      <w:shd w:val="clear" w:fill="auto"/>
    </w:rPr>
  </w:style>
  <w:style w:type="paragraph" w:styleId="historique">
    <w:name w:val="historique"/>
    <w:basedOn w:val="Normal"/>
    <w:next w:val="historique"/>
    <w:qFormat/>
    <w:pPr/>
    <w:rPr>
      <w:sz w:val="16"/>
    </w:rPr>
  </w:style>
  <w:style w:type="paragraph" w:styleId="BODY">
    <w:name w:val="BODY"/>
    <w:basedOn w:val="[Normal]"/>
    <w:next w:val="BODY"/>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0" w:lineRule="auto"/>
    </w:pPr>
    <w:rPr/>
  </w:style>
  <w:style w:type="paragraph" w:styleId="Titre1">
    <w:name w:val="Titre1"/>
    <w:basedOn w:val="[Normal]"/>
    <w:next w:val="Titre1"/>
    <w:qFormat/>
    <w:pPr>
      <w:widowControl w:val="on"/>
    </w:pPr>
    <w:rPr>
      <w:b w:val="on"/>
      <w:sz w:val="28"/>
    </w:rPr>
  </w:style>
  <w:style w:type="paragraph" w:styleId="Alinéa">
    <w:name w:val="Alinéa"/>
    <w:basedOn w:val="[Normal]"/>
    <w:next w:val="Alinéa"/>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line="360" w:lineRule="auto"/>
      <w:ind w:left="1134" w:right="1134"/>
      <w:jc w:val="both"/>
    </w:pPr>
    <w:rPr>
      <w:rFonts w:ascii="Times New Roman" w:hAnsi="Times New Roman" w:eastAsia="Times New Roman"/>
      <w:color w:val="000000"/>
      <w:sz w:val="28"/>
    </w:rPr>
  </w:style>
  <w:style w:type="character" w:styleId="A">
    <w:name w:val="A"/>
    <w:qFormat/>
    <w:rPr>
      <w:color w:val="0000FF"/>
      <w:u w:val="single"/>
    </w:rPr>
  </w:style>
</w:styles>
</file>

<file path=word/_rels/document.xml.rels><?xml version="1.0" encoding="UTF-8" standalone="yes"?>
<Relationships xmlns="http://schemas.openxmlformats.org/package/2006/relationships">
	<Relationship Id="rId00004"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06" Type="http://schemas.openxmlformats.org/officeDocument/2006/relationships/image" Target="media/image0002.jpg"/>
	<Relationship Id="rId00007" Type="http://schemas.openxmlformats.org/officeDocument/2006/relationships/image" Target="media/image0003.jpg"/>
	<Relationship Id="rId00008" Type="http://schemas.openxmlformats.org/officeDocument/2006/relationships/image" Target="media/image0004.jp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xml.rels><?xml version="1.0" encoding="UTF-8" standalone="yes"?>
<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TX_DOX 17.0.140.502</Application>
  <HyperlinkBase>\\192.168.1.100\activimmo\</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