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Dos Santos  Patrick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CA6910 - 23 rue Bergougnoux  18 rue Bouscarat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centre-ville quartier sauvegardé. Immeuble </w:t>
      </w:r>
      <w:r>
        <w:rPr>
          <w:b w:val="on"/>
        </w:rPr>
        <w:t xml:space="preserve">à rénover </w:t>
      </w:r>
      <w:r>
        <w:t xml:space="preserve">de</w:t>
      </w:r>
      <w:r>
        <w:rPr>
          <w:b w:val="on"/>
        </w:rPr>
        <w:t xml:space="preserve"> 4</w:t>
      </w:r>
      <w:r>
        <w:t xml:space="preserve"> appartements, dont un loué. </w:t>
      </w:r>
      <w:r>
        <w:rPr>
          <w:b w:val="on"/>
        </w:rPr>
        <w:t xml:space="preserve">1er étage :</w:t>
      </w:r>
      <w:r>
        <w:t xml:space="preserve"> T1 de 22 m² - T1 de 31 m² </w:t>
      </w:r>
      <w:r>
        <w:rPr>
          <w:b w:val="on"/>
        </w:rPr>
        <w:t xml:space="preserve">2éme étage</w:t>
      </w:r>
      <w:r>
        <w:t xml:space="preserve"> T4 de 84 m². Un appartement (dans une rue parallèle faisant partie de l’immeuble) en rez de chaussée avec entrée indépendante T2 de 57 m² soit au total 192 m² habitable .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Société OFFICE PUBLIC DE L'HABITAT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135 000 € (CENT TRENTE-CINQ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Société OFFICE PUBLIC DE L'HABITAT DU LOT. Je/nous déclare(ons) être informé(s) qu'en cas d'accord de Société OFFICE PUBLIC DE L'HABITAT DU LOT,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14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135 000 € (</w:t>
      </w:r>
      <w:r>
        <w:t xml:space="preserve">CENT TRENTE-CINQ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