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94297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942975"/>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Rémi RAZES,  de la Sarl Quercy Transactions, 3, place Jean-Jacques Chapou, 46000 CAHORS, atteste par la présente avoir visité le 08 octobre 2024, un Appartement sis 63 Boulevard Gambetta  46000 CAHORS appartenant à Mme Rigal </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r>
        <w:rPr>
          <w:color w:val="000000"/>
        </w:rPr>
        <w:t xml:space="preserve">Cahors centre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Au premier étage d'un immeuble trés central sur le boulevard Gambetta.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Appartement de 118 m² de surface habitable offrant 3 chambres et pièces à vivre avec Une vaste terrasse donnant sur le boulevard.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Chauffage central au gaz de vile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Electricité défectueuse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Double vitrage partiel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Une cave et un grenier complètent l'ensemble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L'ensemble est à rafraichir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Assainissement collectif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b w:val="on"/>
          <w:color w:val="000000"/>
        </w:rPr>
      </w:pPr>
      <w:r>
        <w:rPr>
          <w:b w:val="on"/>
          <w:color w:val="000000"/>
        </w:rPr>
        <w:t xml:space="preserve">COPROPRIETE : Charges mensuelles 90€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118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u w:val="single"/>
        </w:rPr>
        <w:t xml:space="preserve">Lots de copropriété :</w:t>
      </w:r>
      <w:r>
        <w:rPr>
          <w:b w:val="on"/>
          <w:sz w:val="24"/>
        </w:rPr>
        <w:t xml:space="preserve"> N°3 : appartement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4"/>
        </w:rPr>
        <w:t xml:space="preserve">                                   N°6/7/8 : locaux autres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Appartement</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16"/>
        </w:rPr>
      </w:pPr>
      <w:r>
        <w:rPr>
          <w:sz w:val="16"/>
        </w:rPr>
        <w:t xml:space="preserve">1er étage:</w:t>
      </w:r>
    </w:p>
    <w:p>
      <w:pPr>
        <w:pStyle w:val="Détail"/>
        <w:numPr>
          <w:ilvl w:val="0"/>
          <w:numId w:val="4"/>
        </w:numPr>
        <w:rPr>
          <w:sz w:val="16"/>
        </w:rPr>
      </w:pPr>
      <w:r>
        <w:rPr>
          <w:sz w:val="16"/>
        </w:rPr>
        <w:t xml:space="preserve">3 Chambres 10,24/15,46/10,40m²</w:t>
      </w:r>
    </w:p>
    <w:p>
      <w:pPr>
        <w:pStyle w:val="Détail"/>
        <w:numPr>
          <w:ilvl w:val="0"/>
          <w:numId w:val="4"/>
        </w:numPr>
        <w:rPr>
          <w:sz w:val="16"/>
        </w:rPr>
      </w:pPr>
      <w:r>
        <w:rPr>
          <w:sz w:val="16"/>
        </w:rPr>
        <w:t xml:space="preserve">Couloir 11,80m²</w:t>
      </w:r>
    </w:p>
    <w:p>
      <w:pPr>
        <w:pStyle w:val="Détail"/>
        <w:numPr>
          <w:ilvl w:val="0"/>
          <w:numId w:val="4"/>
        </w:numPr>
        <w:rPr>
          <w:sz w:val="16"/>
        </w:rPr>
      </w:pPr>
      <w:r>
        <w:rPr>
          <w:sz w:val="16"/>
        </w:rPr>
        <w:t xml:space="preserve">Cuisine 10,53m²</w:t>
      </w:r>
    </w:p>
    <w:p>
      <w:pPr>
        <w:pStyle w:val="Détail"/>
        <w:numPr>
          <w:ilvl w:val="0"/>
          <w:numId w:val="4"/>
        </w:numPr>
        <w:rPr>
          <w:sz w:val="16"/>
        </w:rPr>
      </w:pPr>
      <w:r>
        <w:rPr>
          <w:sz w:val="16"/>
        </w:rPr>
        <w:t xml:space="preserve">Salle à manger 23,90m²</w:t>
      </w:r>
    </w:p>
    <w:p>
      <w:pPr>
        <w:pStyle w:val="Détail"/>
        <w:numPr>
          <w:ilvl w:val="0"/>
          <w:numId w:val="4"/>
        </w:numPr>
        <w:rPr>
          <w:sz w:val="16"/>
        </w:rPr>
      </w:pPr>
      <w:r>
        <w:rPr>
          <w:sz w:val="16"/>
        </w:rPr>
        <w:t xml:space="preserve">Salle de bains complète 8,00m²</w:t>
      </w:r>
    </w:p>
    <w:p>
      <w:pPr>
        <w:pStyle w:val="Détail"/>
        <w:numPr>
          <w:ilvl w:val="0"/>
          <w:numId w:val="4"/>
        </w:numPr>
        <w:rPr>
          <w:sz w:val="16"/>
        </w:rPr>
      </w:pPr>
      <w:r>
        <w:rPr>
          <w:sz w:val="16"/>
        </w:rPr>
        <w:t xml:space="preserve">Salon 26,65m²</w:t>
      </w:r>
    </w:p>
    <w:p>
      <w:pPr>
        <w:pStyle w:val="Détail"/>
        <w:numPr>
          <w:ilvl w:val="0"/>
          <w:numId w:val="4"/>
        </w:numPr>
        <w:rPr>
          <w:sz w:val="16"/>
        </w:rPr>
      </w:pPr>
      <w:r>
        <w:rPr>
          <w:sz w:val="16"/>
        </w:rPr>
        <w:t xml:space="preserve">Terrasse 120m²</w:t>
      </w:r>
    </w:p>
    <w:p>
      <w:pPr>
        <w:pStyle w:val="Détail"/>
        <w:numPr>
          <w:ilvl w:val="0"/>
          <w:numId w:val="4"/>
        </w:numPr>
        <w:rPr>
          <w:sz w:val="16"/>
        </w:rPr>
      </w:pPr>
      <w:r>
        <w:rPr>
          <w:sz w:val="16"/>
        </w:rPr>
        <w:t xml:space="preserve">WC 1,40m²</w:t>
      </w:r>
    </w:p>
    <w:p>
      <w:pPr>
        <w:pStyle w:val="Type de détail"/>
        <w:numPr>
          <w:ilvl w:val="0"/>
          <w:numId w:val="3"/>
        </w:numPr>
        <w:rPr>
          <w:sz w:val="16"/>
        </w:rPr>
      </w:pPr>
      <w:r>
        <w:rPr>
          <w:sz w:val="16"/>
        </w:rPr>
        <w:t xml:space="preserve">4ème étage:</w:t>
      </w:r>
    </w:p>
    <w:p>
      <w:pPr>
        <w:pStyle w:val="Détail"/>
        <w:numPr>
          <w:ilvl w:val="0"/>
          <w:numId w:val="4"/>
        </w:numPr>
        <w:rPr>
          <w:sz w:val="16"/>
        </w:rPr>
      </w:pPr>
      <w:r>
        <w:rPr>
          <w:sz w:val="16"/>
        </w:rPr>
        <w:t xml:space="preserve">Grenier non visité</w:t>
      </w:r>
    </w:p>
    <w:p>
      <w:pPr>
        <w:pStyle w:val="Type de détail"/>
        <w:numPr>
          <w:ilvl w:val="0"/>
          <w:numId w:val="3"/>
        </w:numPr>
        <w:rPr>
          <w:sz w:val="16"/>
        </w:rPr>
      </w:pPr>
      <w:r>
        <w:rPr>
          <w:sz w:val="16"/>
        </w:rPr>
        <w:t xml:space="preserve">DPE:</w:t>
      </w:r>
    </w:p>
    <w:p>
      <w:pPr>
        <w:pStyle w:val="Détail"/>
        <w:numPr>
          <w:ilvl w:val="0"/>
          <w:numId w:val="4"/>
        </w:numPr>
        <w:rPr>
          <w:sz w:val="16"/>
        </w:rPr>
      </w:pPr>
      <w:r>
        <w:rPr>
          <w:sz w:val="16"/>
        </w:rPr>
        <w:t xml:space="preserve">Consommation énergétique en énergie primaire</w:t>
      </w:r>
    </w:p>
    <w:p>
      <w:pPr>
        <w:pStyle w:val="Détail"/>
        <w:numPr>
          <w:ilvl w:val="0"/>
          <w:numId w:val="4"/>
        </w:numPr>
        <w:rPr>
          <w:sz w:val="16"/>
        </w:rPr>
      </w:pPr>
      <w:r>
        <w:rPr>
          <w:sz w:val="16"/>
        </w:rPr>
        <w:t xml:space="preserve">Emission de gaz à effet de serre</w:t>
      </w:r>
    </w:p>
    <w:p>
      <w:pPr>
        <w:pStyle w:val="Type de détail"/>
        <w:numPr>
          <w:ilvl w:val="0"/>
          <w:numId w:val="3"/>
        </w:numPr>
        <w:rPr>
          <w:sz w:val="16"/>
        </w:rPr>
      </w:pPr>
      <w:r>
        <w:rPr>
          <w:sz w:val="16"/>
        </w:rPr>
        <w:t xml:space="preserve">Chauffage:</w:t>
      </w:r>
    </w:p>
    <w:p>
      <w:pPr>
        <w:pStyle w:val="Détail"/>
        <w:numPr>
          <w:ilvl w:val="0"/>
          <w:numId w:val="4"/>
        </w:numPr>
        <w:rPr>
          <w:sz w:val="16"/>
        </w:rPr>
      </w:pPr>
      <w:r>
        <w:rPr>
          <w:sz w:val="16"/>
        </w:rPr>
        <w:t xml:space="preserve">CC Gaz</w:t>
      </w:r>
    </w:p>
    <w:p>
      <w:pPr>
        <w:pStyle w:val="Type de détail"/>
        <w:numPr>
          <w:ilvl w:val="0"/>
          <w:numId w:val="3"/>
        </w:numPr>
        <w:rPr>
          <w:sz w:val="16"/>
        </w:rPr>
      </w:pPr>
      <w:r>
        <w:rPr>
          <w:sz w:val="16"/>
        </w:rPr>
        <w:t xml:space="preserve">Fenêtres:</w:t>
      </w:r>
    </w:p>
    <w:p>
      <w:pPr>
        <w:pStyle w:val="Détail"/>
        <w:numPr>
          <w:ilvl w:val="0"/>
          <w:numId w:val="4"/>
        </w:numPr>
        <w:rPr>
          <w:sz w:val="16"/>
        </w:rPr>
      </w:pPr>
      <w:r>
        <w:rPr>
          <w:sz w:val="16"/>
        </w:rPr>
        <w:t xml:space="preserve">Bois 2 chambres et cuisine en double vitrage</w:t>
      </w:r>
    </w:p>
    <w:p>
      <w:pPr>
        <w:pStyle w:val="Type de détail"/>
        <w:numPr>
          <w:ilvl w:val="0"/>
          <w:numId w:val="3"/>
        </w:numPr>
        <w:rPr>
          <w:sz w:val="16"/>
        </w:rPr>
      </w:pPr>
      <w:r>
        <w:rPr>
          <w:sz w:val="16"/>
        </w:rPr>
        <w:t xml:space="preserve">Sous Sol:</w:t>
      </w:r>
    </w:p>
    <w:p>
      <w:pPr>
        <w:pStyle w:val="Détail"/>
        <w:numPr>
          <w:ilvl w:val="0"/>
          <w:numId w:val="4"/>
        </w:numPr>
      </w:pPr>
      <w:r>
        <w:rPr>
          <w:sz w:val="16"/>
        </w:rPr>
        <w:t xml:space="preserve">Cave non visitée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entre </w:t>
      </w:r>
      <w:r>
        <w:rPr>
          <w:b w:val="on"/>
          <w:sz w:val="24"/>
        </w:rPr>
        <w:t xml:space="preserve">153400 €</w:t>
      </w:r>
      <w:r>
        <w:rPr>
          <w:sz w:val="24"/>
        </w:rPr>
        <w:t xml:space="preserve"> (</w:t>
      </w:r>
      <w:r>
        <w:rPr>
          <w:b w:val="on"/>
          <w:sz w:val="24"/>
        </w:rPr>
        <w:t xml:space="preserve">CENT CINQUANTE TROIS  MILLE QUATRE CENT EUROS</w:t>
      </w:r>
      <w:r>
        <w:rPr>
          <w:sz w:val="24"/>
        </w:rPr>
        <w:t xml:space="preserve">) et </w:t>
      </w:r>
      <w:r>
        <w:rPr>
          <w:b w:val="on"/>
          <w:sz w:val="24"/>
        </w:rPr>
        <w:t xml:space="preserve"> 165200€</w:t>
      </w:r>
      <w:r>
        <w:rPr>
          <w:sz w:val="24"/>
        </w:rPr>
        <w:t xml:space="preserve"> (</w:t>
      </w:r>
      <w:r>
        <w:rPr>
          <w:b w:val="on"/>
          <w:sz w:val="24"/>
        </w:rPr>
        <w:t xml:space="preserve">CENT SOIXANTE CINQ MILLE DEUX CENT EUROS</w:t>
      </w:r>
      <w:r>
        <w:rPr>
          <w:sz w:val="24"/>
        </w:rPr>
        <w:t xml:space="preserve">) </w:t>
      </w:r>
      <w:r>
        <w:rPr>
          <w:b w:val="on"/>
          <w:sz w:val="24"/>
        </w:rPr>
        <w:t xml:space="preserve">soit entre 1300 et 1400€/m² habitable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à ce jour sur ce secteur et sous réserve du résultat favorable des expertises : termites, plomb, amiante, électricité, gaz, diagnostic de performance énergétique (DPE).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13 novembre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2</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16"/>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16"/>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