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 septembre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Avenue de la résistance </w:t>
      </w:r>
      <w:r>
        <w:rPr>
          <w:color w:val="800080"/>
        </w:rPr>
        <w:t xml:space="preserve">  -</w:t>
      </w:r>
      <w:r>
        <w:t xml:space="preserve"> 46140</w:t>
      </w:r>
      <w:r>
        <w:rPr>
          <w:i w:val="on"/>
        </w:rPr>
        <w:t xml:space="preserve"> </w:t>
      </w:r>
      <w:r>
        <w:t xml:space="preserve">LE VIGNON EN 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à restaurer entièrement , avec env 500m² de jardin autour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garages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ETAGE : séjour , cuisine , sdb , deux chambres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ETAGE : sejour , cusine , sdb, trois chambres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L'ensemble offre 210 m²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pvc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500 m² environ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85 000 € (QUATRE-VINGT-CINQ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 Cahors le 27 septembre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OFFICE PUBLIC DE L'HABITAT DU LOT  23 avenue Alphonse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6 973 sis Avenue de la résistance  46140 LE VIGNON EN 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OFFICE PUBLIC DE L'HABITAT DU LOT  23 avenue Alphonse Juin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6 973 du bien sis Avenue de la résistance  46140 LE VIGNON EN 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