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Lagarrigue, agent commercial immobilier de la Sarl Quercy Transactions, 3, place Jean-Jacques Chapou, 46000 CAHORS (Lot), atteste par la présente avoir visité le12 Octobre  2024, une Maison Contemporaine sis  4 Impasse  Jean Giono  46090 PRADINES appartenant à Indivi Delfaut isabelle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rP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 les risques auxquels ce bien est exposé sont</w:t>
        <w:br w:type="textWrapping"/>
      </w:r>
      <w:r>
        <w:t xml:space="preserve">Surface habitable environ : 122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Parcelle n°  AB 12  1 187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r>
        <w:rPr>
          <w:b w:val="off"/>
          <w:sz w:val="24"/>
        </w:rPr>
        <w:t xml:space="preserve">1ère Périphérie.</w:t>
      </w:r>
    </w:p>
    <w:p>
      <w:pPr>
        <w:pStyle w:val="Type de détail"/>
        <w:numPr>
          <w:ilvl w:val="0"/>
          <w:numId w:val="3"/>
        </w:numPr>
      </w:pPr>
      <w:r>
        <w:t xml:space="preserve">Rez de Jardin:</w:t>
      </w:r>
      <w:r>
        <w:rPr>
          <w:b w:val="off"/>
          <w:sz w:val="24"/>
        </w:rPr>
        <w:t xml:space="preserve">3 Chambres13,11m2;10,62m2;11,79 m2.,Couloir 8,80m2</w:t>
      </w:r>
    </w:p>
    <w:p>
      <w:pPr>
        <w:pStyle w:val="Détail"/>
        <w:numPr>
          <w:ilvl w:val="0"/>
          <w:numId w:val="0"/>
        </w:numPr>
        <w:ind w:left="0" w:firstLine="0"/>
      </w:pPr>
      <w:r>
        <w:t xml:space="preserve">      Cuisine 13,84m2,Hall d'entrée 6,53m2,Salle à manger 30,63m2, 2 Salles d'eau                    3,83m2 et 8,05 m25.Terrasse,2 WC  Dont un qui se trouve dans la salle d' eau.</w:t>
      </w:r>
    </w:p>
    <w:p>
      <w:pPr>
        <w:pStyle w:val="Type de détail"/>
        <w:numPr>
          <w:ilvl w:val="0"/>
          <w:numId w:val="3"/>
        </w:numPr>
        <w:rPr>
          <w:b w:val="off"/>
          <w:sz w:val="24"/>
        </w:rPr>
      </w:pPr>
      <w:r>
        <w:t xml:space="preserve">1er étage:</w:t>
      </w:r>
      <w:r>
        <w:rPr>
          <w:b w:val="off"/>
          <w:sz w:val="24"/>
        </w:rPr>
        <w:t xml:space="preserve">Chambre 12,56m2.</w:t>
      </w:r>
      <w:r>
        <w:t xml:space="preserve">DPE:</w:t>
      </w:r>
      <w:r>
        <w:rPr>
          <w:b w:val="off"/>
          <w:sz w:val="24"/>
        </w:rPr>
        <w:t xml:space="preserve">Consommation énergétique en énergie primaire 294,00 KWHep/m²an  E,</w:t>
      </w:r>
      <w:r>
        <w:rPr>
          <w:b w:val="off"/>
          <w:sz w:val="24"/>
        </w:rPr>
        <w:t xml:space="preserve">Emission de gaz à effet de serre 43,00 Kgco2/m²an D.Chauffage:bois cheminée insert,CC Gaz.</w:t>
      </w:r>
    </w:p>
    <w:p>
      <w:pPr>
        <w:pStyle w:val="Type de détail"/>
        <w:numPr>
          <w:ilvl w:val="0"/>
          <w:numId w:val="3"/>
        </w:numPr>
        <w:rPr>
          <w:b w:val="off"/>
          <w:sz w:val="24"/>
        </w:rPr>
      </w:pPr>
      <w:r>
        <w:t xml:space="preserve">Equipements de Cuisine:</w:t>
      </w:r>
      <w:r>
        <w:rPr>
          <w:b w:val="off"/>
          <w:sz w:val="24"/>
        </w:rPr>
        <w:t xml:space="preserve">Four,Hotte aspirante,Lave vaisselle  plaque à induction.</w:t>
      </w:r>
    </w:p>
    <w:p>
      <w:pPr>
        <w:pStyle w:val="Type de détail"/>
        <w:numPr>
          <w:ilvl w:val="0"/>
          <w:numId w:val="3"/>
        </w:numPr>
        <w:rPr>
          <w:b w:val="off"/>
          <w:sz w:val="24"/>
        </w:rPr>
      </w:pPr>
      <w:r>
        <w:t xml:space="preserve">Equipements divers:</w:t>
      </w:r>
      <w:r>
        <w:rPr>
          <w:b w:val="off"/>
          <w:sz w:val="24"/>
        </w:rPr>
        <w:t xml:space="preserve">2 Air conditionné Réversible dans le salon et dans la chambre parentale,Double vitrage,Insert,Store banne,Tout à l'égout</w:t>
      </w:r>
    </w:p>
    <w:p>
      <w:pPr>
        <w:pStyle w:val="Détail"/>
        <w:numPr>
          <w:ilvl w:val="0"/>
          <w:numId w:val="0"/>
        </w:numPr>
        <w:ind w:left="0" w:firstLine="0"/>
      </w:pPr>
      <w:r>
        <w:t xml:space="preserve">     Production eau chaude  ballon,Cheminée.</w:t>
      </w:r>
    </w:p>
    <w:p>
      <w:pPr>
        <w:pStyle w:val="Type de détail"/>
        <w:numPr>
          <w:ilvl w:val="0"/>
          <w:numId w:val="3"/>
        </w:numPr>
      </w:pPr>
      <w:r>
        <w:t xml:space="preserve">Equipements Electrique:</w:t>
      </w:r>
      <w:r>
        <w:rPr>
          <w:b w:val="off"/>
          <w:sz w:val="24"/>
        </w:rPr>
        <w:t xml:space="preserve">Câble TV</w:t>
      </w:r>
    </w:p>
    <w:p>
      <w:pPr>
        <w:pStyle w:val="Type de détail"/>
        <w:numPr>
          <w:ilvl w:val="0"/>
          <w:numId w:val="3"/>
        </w:numPr>
      </w:pPr>
      <w:r>
        <w:t xml:space="preserve">Fenêtres:</w:t>
      </w:r>
      <w:r>
        <w:rPr>
          <w:b w:val="off"/>
          <w:sz w:val="24"/>
        </w:rPr>
        <w:t xml:space="preserve">Double vitrage,PVC,Volets.</w:t>
      </w:r>
    </w:p>
    <w:p>
      <w:pPr>
        <w:pStyle w:val="Détail"/>
        <w:numPr>
          <w:ilvl w:val="0"/>
          <w:numId w:val="0"/>
        </w:numPr>
        <w:ind w:left="0" w:firstLine="0"/>
      </w:pPr>
    </w:p>
    <w:p>
      <w:pPr>
        <w:pStyle w:val="Type de détail"/>
        <w:numPr>
          <w:ilvl w:val="0"/>
          <w:numId w:val="0"/>
        </w:numPr>
        <w:ind w:left="0" w:firstLine="0"/>
      </w:pPr>
      <w:r>
        <w:t xml:space="preserve">Services:</w:t>
      </w:r>
      <w:r>
        <w:rPr>
          <w:b w:val="off"/>
          <w:sz w:val="24"/>
        </w:rPr>
        <w:t xml:space="preserve">Calme,Commerces,Ecole,Gare,Hôpital,Internet / ADSL</w:t>
      </w:r>
      <w:r>
        <w:t xml:space="preserve">  </w:t>
      </w:r>
      <w:r>
        <w:rPr>
          <w:b w:val="off"/>
          <w:sz w:val="24"/>
        </w:rPr>
        <w:t xml:space="preserve">Internet fibre</w:t>
      </w:r>
      <w:r>
        <w:rPr>
          <w:b w:val="off"/>
        </w:rPr>
        <w:t xml:space="preserve"> </w:t>
      </w:r>
      <w:r>
        <w:rPr>
          <w:b w:val="off"/>
          <w:sz w:val="24"/>
        </w:rPr>
        <w:t xml:space="preserve">optique</w:t>
      </w:r>
      <w:r>
        <w:rPr>
          <w:b w:val="off"/>
        </w:rPr>
        <w:t xml:space="preserve">.</w:t>
      </w:r>
      <w:r>
        <w:t xml:space="preserve">Sous Sol</w:t>
      </w:r>
      <w:r>
        <w:rPr>
          <w:b w:val="off"/>
        </w:rPr>
        <w:t xml:space="preserve">:</w:t>
      </w:r>
      <w:r>
        <w:rPr>
          <w:b w:val="off"/>
          <w:sz w:val="24"/>
        </w:rPr>
        <w:t xml:space="preserve">Garage  environ de 122 m2.          </w:t>
      </w:r>
      <w:r>
        <w:rPr>
          <w:b w:val="off"/>
        </w:rPr>
        <w:t xml:space="preserve">   </w:t>
      </w:r>
      <w:r>
        <w:t xml:space="preserve">Terrain</w:t>
      </w:r>
      <w:r>
        <w:rPr>
          <w:b w:val="off"/>
        </w:rPr>
        <w:t xml:space="preserve">:</w:t>
      </w:r>
      <w:r>
        <w:rPr>
          <w:b w:val="off"/>
          <w:sz w:val="24"/>
        </w:rPr>
        <w:t xml:space="preserve">Arboré,Barbecue,Cloturé,Jardin,Terrasse.Toiture:Tuiles</w:t>
      </w:r>
    </w:p>
    <w:p>
      <w:pPr>
        <w:pStyle w:val="Type de détail"/>
        <w:numPr>
          <w:ilvl w:val="0"/>
          <w:numId w:val="0"/>
        </w:numPr>
        <w:ind w:left="0" w:firstLine="0"/>
        <w:rPr>
          <w:b w:val="off"/>
          <w:sz w:val="24"/>
        </w:rPr>
      </w:pPr>
      <w:r>
        <w:t xml:space="preserve"> Vue:</w:t>
      </w:r>
      <w:r>
        <w:rPr>
          <w:b w:val="off"/>
          <w:sz w:val="24"/>
        </w:rPr>
        <w:t xml:space="preserve">Vue sur jardin.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8"/>
        </w:rPr>
        <w:t xml:space="preserve">200 000</w:t>
      </w:r>
      <w:r>
        <w:rPr>
          <w:b w:val="on"/>
          <w:sz w:val="24"/>
        </w:rPr>
        <w:t xml:space="preserve"> €</w:t>
      </w:r>
      <w:r>
        <w:rPr>
          <w:sz w:val="24"/>
        </w:rPr>
        <w:t xml:space="preserve"> (</w:t>
      </w:r>
      <w:r>
        <w:rPr>
          <w:b w:val="on"/>
          <w:sz w:val="24"/>
        </w:rPr>
        <w:t xml:space="preserve">DEUX CENT MILLE EURO</w:t>
      </w:r>
      <w:r>
        <w:rPr>
          <w:sz w:val="24"/>
        </w:rPr>
        <w:t xml:space="preserve">) et </w:t>
      </w:r>
      <w:r>
        <w:rPr>
          <w:b w:val="on"/>
          <w:sz w:val="24"/>
        </w:rPr>
        <w:t xml:space="preserve"> </w:t>
      </w:r>
      <w:r>
        <w:rPr>
          <w:b w:val="on"/>
          <w:sz w:val="28"/>
        </w:rPr>
        <w:t xml:space="preserve">210 000€</w:t>
      </w:r>
      <w:r>
        <w:rPr>
          <w:sz w:val="24"/>
        </w:rPr>
        <w:t xml:space="preserve"> (</w:t>
      </w:r>
      <w:r>
        <w:rPr>
          <w:b w:val="on"/>
          <w:sz w:val="24"/>
        </w:rPr>
        <w:t xml:space="preserve">DEUX DIX MILLE EURO</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18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